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012E386">
      <w:pPr>
        <w:spacing w:after="78"/>
        <w:jc w:val="center"/>
        <w:rPr>
          <w:rFonts w:ascii="Times New Roman" w:hAnsi="Times New Roman" w:eastAsia="方正小标宋简体"/>
          <w:bCs/>
          <w:sz w:val="32"/>
          <w:szCs w:val="32"/>
        </w:rPr>
      </w:pPr>
    </w:p>
    <w:p w14:paraId="2FAF67EB">
      <w:pPr>
        <w:pStyle w:val="63"/>
        <w:spacing w:after="78"/>
        <w:rPr>
          <w:rFonts w:ascii="Times New Roman" w:hAnsi="Times New Roman" w:eastAsia="方正小标宋简体"/>
          <w:bCs/>
          <w:sz w:val="32"/>
          <w:szCs w:val="32"/>
        </w:rPr>
      </w:pPr>
    </w:p>
    <w:p w14:paraId="77326CD9">
      <w:pPr>
        <w:pStyle w:val="63"/>
        <w:spacing w:after="78"/>
        <w:rPr>
          <w:rFonts w:ascii="Times New Roman" w:hAnsi="Times New Roman" w:eastAsia="方正小标宋简体"/>
          <w:bCs/>
          <w:sz w:val="32"/>
          <w:szCs w:val="32"/>
        </w:rPr>
      </w:pPr>
    </w:p>
    <w:p w14:paraId="6486AFCD">
      <w:pPr>
        <w:spacing w:after="78"/>
        <w:jc w:val="center"/>
        <w:rPr>
          <w:rFonts w:ascii="Times New Roman" w:hAnsi="Times New Roman" w:eastAsia="长城小"/>
          <w:b/>
          <w:sz w:val="44"/>
          <w:szCs w:val="44"/>
        </w:rPr>
      </w:pPr>
    </w:p>
    <w:p w14:paraId="1E1325C3">
      <w:pPr>
        <w:spacing w:after="78"/>
        <w:jc w:val="center"/>
        <w:rPr>
          <w:rFonts w:ascii="Times New Roman" w:hAnsi="Times New Roman" w:eastAsia="长城小"/>
          <w:b/>
          <w:sz w:val="44"/>
          <w:szCs w:val="44"/>
        </w:rPr>
      </w:pPr>
    </w:p>
    <w:p w14:paraId="5F9C7EF5">
      <w:pPr>
        <w:spacing w:after="78"/>
        <w:jc w:val="center"/>
        <w:rPr>
          <w:rFonts w:ascii="Times New Roman" w:hAnsi="Times New Roman" w:eastAsia="长城小"/>
          <w:b/>
          <w:sz w:val="44"/>
          <w:szCs w:val="44"/>
        </w:rPr>
      </w:pPr>
    </w:p>
    <w:p w14:paraId="11BF6409">
      <w:pPr>
        <w:spacing w:after="78"/>
        <w:rPr>
          <w:rFonts w:ascii="Times New Roman" w:hAnsi="Times New Roman" w:eastAsia="长城小"/>
          <w:b/>
          <w:sz w:val="44"/>
          <w:szCs w:val="44"/>
        </w:rPr>
      </w:pPr>
    </w:p>
    <w:p w14:paraId="766D5760">
      <w:pPr>
        <w:spacing w:after="78"/>
        <w:jc w:val="center"/>
        <w:rPr>
          <w:rFonts w:ascii="Times New Roman" w:hAnsi="Times New Roman" w:eastAsia="长城小"/>
          <w:b/>
          <w:sz w:val="44"/>
          <w:szCs w:val="44"/>
        </w:rPr>
      </w:pPr>
    </w:p>
    <w:p w14:paraId="5BBE0139">
      <w:pPr>
        <w:spacing w:after="78" w:line="640" w:lineRule="exact"/>
        <w:jc w:val="center"/>
        <w:rPr>
          <w:rFonts w:ascii="Times New Roman" w:hAnsi="Times New Roman" w:eastAsia="长城小标宋体"/>
          <w:b/>
          <w:bCs/>
          <w:sz w:val="40"/>
          <w:szCs w:val="40"/>
        </w:rPr>
      </w:pPr>
      <w:r>
        <w:rPr>
          <w:rFonts w:hint="eastAsia" w:ascii="Times New Roman" w:hAnsi="Times New Roman" w:eastAsia="长城小标宋体"/>
          <w:b/>
          <w:bCs/>
          <w:sz w:val="40"/>
          <w:szCs w:val="40"/>
        </w:rPr>
        <w:t>深圳市佳耀生态环保科技有限</w:t>
      </w:r>
      <w:r>
        <w:rPr>
          <w:rFonts w:ascii="Times New Roman" w:hAnsi="Times New Roman" w:eastAsia="长城小标宋体"/>
          <w:b/>
          <w:bCs/>
          <w:sz w:val="40"/>
          <w:szCs w:val="40"/>
        </w:rPr>
        <w:t>公司</w:t>
      </w:r>
      <w:r>
        <w:rPr>
          <w:rFonts w:hint="eastAsia" w:ascii="Times New Roman" w:hAnsi="Times New Roman" w:eastAsia="长城小标宋体"/>
          <w:b/>
          <w:bCs/>
          <w:sz w:val="40"/>
          <w:szCs w:val="40"/>
        </w:rPr>
        <w:t>东莞分公司</w:t>
      </w:r>
    </w:p>
    <w:p w14:paraId="2341D195">
      <w:pPr>
        <w:spacing w:after="78" w:line="640" w:lineRule="exact"/>
        <w:jc w:val="center"/>
        <w:rPr>
          <w:rFonts w:ascii="Times New Roman" w:hAnsi="Times New Roman" w:eastAsia="长城小标宋体"/>
          <w:b/>
          <w:bCs/>
          <w:sz w:val="40"/>
          <w:szCs w:val="40"/>
        </w:rPr>
      </w:pPr>
      <w:r>
        <w:rPr>
          <w:rFonts w:hint="eastAsia" w:ascii="Times New Roman" w:hAnsi="Times New Roman" w:eastAsia="长城小标宋体"/>
          <w:b/>
          <w:bCs/>
          <w:sz w:val="40"/>
          <w:szCs w:val="40"/>
        </w:rPr>
        <w:t>危险废物收集服务项目</w:t>
      </w:r>
    </w:p>
    <w:p w14:paraId="2F120DDB">
      <w:pPr>
        <w:spacing w:after="78" w:line="640" w:lineRule="exact"/>
        <w:jc w:val="center"/>
        <w:rPr>
          <w:rFonts w:ascii="Times New Roman" w:hAnsi="Times New Roman" w:eastAsia="长城小标宋体"/>
          <w:b/>
          <w:bCs/>
          <w:sz w:val="40"/>
          <w:szCs w:val="40"/>
        </w:rPr>
      </w:pPr>
      <w:r>
        <w:rPr>
          <w:rFonts w:hint="eastAsia" w:ascii="Times New Roman" w:hAnsi="Times New Roman" w:eastAsia="长城小标宋体"/>
          <w:b/>
          <w:bCs/>
          <w:sz w:val="40"/>
          <w:szCs w:val="40"/>
        </w:rPr>
        <w:t>询价</w:t>
      </w:r>
      <w:r>
        <w:rPr>
          <w:rFonts w:ascii="Times New Roman" w:hAnsi="Times New Roman" w:eastAsia="长城小标宋体"/>
          <w:b/>
          <w:bCs/>
          <w:sz w:val="40"/>
          <w:szCs w:val="40"/>
        </w:rPr>
        <w:t>告知函</w:t>
      </w:r>
    </w:p>
    <w:p w14:paraId="62AA6465">
      <w:pPr>
        <w:spacing w:after="78"/>
        <w:rPr>
          <w:rFonts w:ascii="Times New Roman" w:hAnsi="Times New Roman" w:eastAsia="方正小标宋简体"/>
          <w:sz w:val="32"/>
          <w:szCs w:val="32"/>
        </w:rPr>
      </w:pPr>
    </w:p>
    <w:p w14:paraId="3DDA6EBA">
      <w:pPr>
        <w:spacing w:after="78"/>
        <w:rPr>
          <w:rFonts w:ascii="Times New Roman" w:hAnsi="Times New Roman" w:eastAsia="方正小标宋简体"/>
          <w:sz w:val="32"/>
          <w:szCs w:val="32"/>
        </w:rPr>
      </w:pPr>
    </w:p>
    <w:p w14:paraId="7FD6AEF5">
      <w:pPr>
        <w:spacing w:after="78"/>
        <w:rPr>
          <w:rFonts w:ascii="Times New Roman" w:hAnsi="Times New Roman" w:eastAsia="方正小标宋简体"/>
          <w:sz w:val="32"/>
          <w:szCs w:val="32"/>
        </w:rPr>
      </w:pPr>
    </w:p>
    <w:p w14:paraId="6A02E197">
      <w:pPr>
        <w:spacing w:after="78"/>
      </w:pPr>
    </w:p>
    <w:p w14:paraId="0B954FFA">
      <w:pPr>
        <w:spacing w:after="78"/>
        <w:rPr>
          <w:rFonts w:ascii="Times New Roman" w:hAnsi="Times New Roman" w:eastAsia="方正小标宋简体"/>
          <w:sz w:val="32"/>
          <w:szCs w:val="32"/>
        </w:rPr>
      </w:pPr>
    </w:p>
    <w:p w14:paraId="7A29CF6E">
      <w:pPr>
        <w:spacing w:after="78"/>
        <w:rPr>
          <w:rFonts w:ascii="Times New Roman" w:hAnsi="Times New Roman" w:eastAsia="方正小标宋简体"/>
          <w:sz w:val="32"/>
          <w:szCs w:val="32"/>
        </w:rPr>
      </w:pPr>
    </w:p>
    <w:p w14:paraId="3107B635">
      <w:pPr>
        <w:pStyle w:val="9"/>
        <w:rPr>
          <w:rFonts w:ascii="Times New Roman" w:hAnsi="Times New Roman" w:eastAsia="方正小标宋简体"/>
          <w:sz w:val="32"/>
          <w:szCs w:val="32"/>
        </w:rPr>
      </w:pPr>
    </w:p>
    <w:p w14:paraId="0FE5E3DA">
      <w:pPr>
        <w:spacing w:after="78"/>
      </w:pPr>
    </w:p>
    <w:p w14:paraId="0162D873">
      <w:pPr>
        <w:pStyle w:val="9"/>
      </w:pPr>
    </w:p>
    <w:p w14:paraId="6F68CECC">
      <w:pPr>
        <w:pStyle w:val="3"/>
        <w:numPr>
          <w:ilvl w:val="0"/>
          <w:numId w:val="2"/>
        </w:numPr>
        <w:spacing w:after="78"/>
        <w:ind w:left="0" w:firstLine="0"/>
        <w:jc w:val="center"/>
        <w:rPr>
          <w:rFonts w:hint="eastAsia" w:ascii="黑体" w:hAnsi="黑体" w:eastAsia="黑体"/>
          <w:sz w:val="32"/>
          <w:szCs w:val="32"/>
        </w:rPr>
        <w:sectPr>
          <w:headerReference r:id="rId7" w:type="first"/>
          <w:footerReference r:id="rId9" w:type="first"/>
          <w:headerReference r:id="rId5" w:type="default"/>
          <w:headerReference r:id="rId6" w:type="even"/>
          <w:footerReference r:id="rId8" w:type="even"/>
          <w:pgSz w:w="11906" w:h="16838"/>
          <w:pgMar w:top="1418" w:right="1587" w:bottom="1418" w:left="1587" w:header="851" w:footer="992" w:gutter="0"/>
          <w:pgNumType w:start="1"/>
          <w:cols w:space="720" w:num="1"/>
          <w:docGrid w:type="lines" w:linePitch="312" w:charSpace="0"/>
        </w:sectPr>
      </w:pPr>
    </w:p>
    <w:p w14:paraId="1BAF9AE1">
      <w:pPr>
        <w:pStyle w:val="3"/>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项目关键信息</w:t>
      </w:r>
    </w:p>
    <w:p w14:paraId="3AD56AED">
      <w:pPr>
        <w:pStyle w:val="40"/>
        <w:spacing w:after="78" w:line="640" w:lineRule="exact"/>
        <w:ind w:firstLine="640"/>
        <w:rPr>
          <w:rFonts w:eastAsia="黑体"/>
          <w:sz w:val="32"/>
          <w:szCs w:val="32"/>
        </w:rPr>
      </w:pPr>
      <w:r>
        <w:rPr>
          <w:rFonts w:hint="eastAsia" w:eastAsia="黑体"/>
          <w:sz w:val="32"/>
          <w:szCs w:val="32"/>
        </w:rPr>
        <w:t>一、</w:t>
      </w:r>
      <w:r>
        <w:rPr>
          <w:rFonts w:hint="eastAsia" w:eastAsia="黑体"/>
          <w:sz w:val="32"/>
          <w:szCs w:val="32"/>
          <w:lang w:val="en-US" w:eastAsia="zh-CN"/>
        </w:rPr>
        <w:t>服务</w:t>
      </w:r>
      <w:r>
        <w:rPr>
          <w:rFonts w:hint="eastAsia" w:eastAsia="黑体"/>
          <w:sz w:val="32"/>
          <w:szCs w:val="32"/>
        </w:rPr>
        <w:t>内容</w:t>
      </w:r>
    </w:p>
    <w:p w14:paraId="2873E0FD">
      <w:pPr>
        <w:widowControl/>
        <w:spacing w:afterLines="0" w:line="24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（一）采购项目名称：危险废物收集服务项目。</w:t>
      </w:r>
    </w:p>
    <w:p w14:paraId="008B0A0E">
      <w:pPr>
        <w:widowControl/>
        <w:spacing w:afterLines="0" w:line="240" w:lineRule="auto"/>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（二）采购需求：</w:t>
      </w:r>
    </w:p>
    <w:tbl>
      <w:tblPr>
        <w:tblStyle w:val="21"/>
        <w:tblpPr w:leftFromText="180" w:rightFromText="180" w:vertAnchor="text" w:horzAnchor="margin" w:tblpY="327"/>
        <w:tblOverlap w:val="never"/>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1267"/>
        <w:gridCol w:w="1273"/>
        <w:gridCol w:w="1490"/>
        <w:gridCol w:w="817"/>
        <w:gridCol w:w="1283"/>
        <w:gridCol w:w="1263"/>
        <w:gridCol w:w="826"/>
      </w:tblGrid>
      <w:tr w14:paraId="54AAB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trPr>
        <w:tc>
          <w:tcPr>
            <w:tcW w:w="404" w:type="pct"/>
            <w:vAlign w:val="center"/>
          </w:tcPr>
          <w:p w14:paraId="78D76F88">
            <w:pPr>
              <w:widowControl/>
              <w:spacing w:afterLines="0" w:line="240" w:lineRule="auto"/>
              <w:jc w:val="center"/>
              <w:rPr>
                <w:rFonts w:hint="eastAsia" w:ascii="仿宋" w:hAnsi="仿宋" w:eastAsia="仿宋"/>
                <w:b/>
                <w:bCs/>
                <w:kern w:val="0"/>
                <w:sz w:val="24"/>
              </w:rPr>
            </w:pPr>
            <w:r>
              <w:rPr>
                <w:rFonts w:hint="eastAsia" w:ascii="仿宋" w:hAnsi="仿宋" w:eastAsia="仿宋"/>
                <w:b/>
                <w:bCs/>
                <w:kern w:val="0"/>
                <w:sz w:val="24"/>
              </w:rPr>
              <w:t>序号</w:t>
            </w:r>
          </w:p>
        </w:tc>
        <w:tc>
          <w:tcPr>
            <w:tcW w:w="708" w:type="pct"/>
            <w:vAlign w:val="center"/>
          </w:tcPr>
          <w:p w14:paraId="7BDEAAA4">
            <w:pPr>
              <w:widowControl/>
              <w:spacing w:afterLines="0" w:line="240" w:lineRule="auto"/>
              <w:jc w:val="center"/>
              <w:rPr>
                <w:rFonts w:hint="eastAsia" w:ascii="仿宋" w:hAnsi="仿宋" w:eastAsia="仿宋"/>
                <w:b/>
                <w:bCs/>
                <w:kern w:val="0"/>
                <w:sz w:val="24"/>
              </w:rPr>
            </w:pPr>
            <w:r>
              <w:rPr>
                <w:rFonts w:hint="eastAsia" w:ascii="仿宋" w:hAnsi="仿宋" w:eastAsia="仿宋"/>
                <w:b/>
                <w:bCs/>
                <w:kern w:val="0"/>
                <w:sz w:val="24"/>
              </w:rPr>
              <w:t>废物名称</w:t>
            </w:r>
          </w:p>
        </w:tc>
        <w:tc>
          <w:tcPr>
            <w:tcW w:w="711" w:type="pct"/>
            <w:vAlign w:val="center"/>
          </w:tcPr>
          <w:p w14:paraId="284547B2">
            <w:pPr>
              <w:widowControl/>
              <w:spacing w:afterLines="0" w:line="240" w:lineRule="auto"/>
              <w:jc w:val="center"/>
              <w:rPr>
                <w:rFonts w:hint="eastAsia" w:ascii="仿宋" w:hAnsi="仿宋" w:eastAsia="仿宋"/>
                <w:b/>
                <w:bCs/>
                <w:kern w:val="0"/>
                <w:sz w:val="24"/>
              </w:rPr>
            </w:pPr>
            <w:r>
              <w:rPr>
                <w:rFonts w:hint="eastAsia" w:ascii="仿宋" w:hAnsi="仿宋" w:eastAsia="仿宋"/>
                <w:b/>
                <w:bCs/>
                <w:kern w:val="0"/>
                <w:sz w:val="24"/>
              </w:rPr>
              <w:t>废物类别</w:t>
            </w:r>
          </w:p>
        </w:tc>
        <w:tc>
          <w:tcPr>
            <w:tcW w:w="833" w:type="pct"/>
            <w:vAlign w:val="center"/>
          </w:tcPr>
          <w:p w14:paraId="04DC43B8">
            <w:pPr>
              <w:widowControl/>
              <w:spacing w:afterLines="0" w:line="240" w:lineRule="auto"/>
              <w:jc w:val="center"/>
              <w:rPr>
                <w:rFonts w:hint="eastAsia" w:ascii="仿宋" w:hAnsi="仿宋" w:eastAsia="仿宋"/>
                <w:b/>
                <w:bCs/>
                <w:kern w:val="0"/>
                <w:sz w:val="24"/>
              </w:rPr>
            </w:pPr>
            <w:r>
              <w:rPr>
                <w:rFonts w:hint="eastAsia" w:ascii="仿宋" w:hAnsi="仿宋" w:eastAsia="仿宋"/>
                <w:b/>
                <w:bCs/>
                <w:kern w:val="0"/>
                <w:sz w:val="24"/>
              </w:rPr>
              <w:t>废物代码</w:t>
            </w:r>
          </w:p>
        </w:tc>
        <w:tc>
          <w:tcPr>
            <w:tcW w:w="456" w:type="pct"/>
            <w:vAlign w:val="center"/>
          </w:tcPr>
          <w:p w14:paraId="111EAB56">
            <w:pPr>
              <w:widowControl/>
              <w:spacing w:afterLines="0" w:line="240" w:lineRule="auto"/>
              <w:jc w:val="center"/>
              <w:rPr>
                <w:rFonts w:hint="eastAsia" w:ascii="仿宋" w:hAnsi="仿宋" w:eastAsia="仿宋"/>
                <w:b/>
                <w:bCs/>
                <w:kern w:val="0"/>
                <w:sz w:val="24"/>
              </w:rPr>
            </w:pPr>
            <w:r>
              <w:rPr>
                <w:rFonts w:hint="eastAsia" w:ascii="仿宋" w:hAnsi="仿宋" w:eastAsia="仿宋"/>
                <w:b/>
                <w:bCs/>
                <w:kern w:val="0"/>
                <w:sz w:val="24"/>
              </w:rPr>
              <w:t>单位</w:t>
            </w:r>
          </w:p>
        </w:tc>
        <w:tc>
          <w:tcPr>
            <w:tcW w:w="717" w:type="pct"/>
            <w:vAlign w:val="center"/>
          </w:tcPr>
          <w:p w14:paraId="609FAC46">
            <w:pPr>
              <w:widowControl/>
              <w:spacing w:afterLines="0" w:line="240" w:lineRule="auto"/>
              <w:jc w:val="center"/>
              <w:rPr>
                <w:rFonts w:hint="eastAsia" w:ascii="仿宋" w:hAnsi="仿宋" w:eastAsia="仿宋"/>
                <w:b/>
                <w:bCs/>
                <w:kern w:val="0"/>
                <w:sz w:val="24"/>
              </w:rPr>
            </w:pPr>
            <w:r>
              <w:rPr>
                <w:rFonts w:hint="eastAsia" w:ascii="仿宋" w:hAnsi="仿宋" w:eastAsia="仿宋"/>
                <w:b/>
                <w:bCs/>
                <w:kern w:val="0"/>
                <w:sz w:val="24"/>
              </w:rPr>
              <w:t>预估数量（吨/年）</w:t>
            </w:r>
          </w:p>
        </w:tc>
        <w:tc>
          <w:tcPr>
            <w:tcW w:w="706" w:type="pct"/>
            <w:vAlign w:val="center"/>
          </w:tcPr>
          <w:p w14:paraId="68A0F5CF">
            <w:pPr>
              <w:tabs>
                <w:tab w:val="left" w:pos="426"/>
              </w:tabs>
              <w:spacing w:after="78" w:line="240" w:lineRule="auto"/>
              <w:jc w:val="center"/>
              <w:rPr>
                <w:rFonts w:hint="eastAsia" w:ascii="仿宋" w:hAnsi="仿宋" w:eastAsia="仿宋" w:cs="仿宋"/>
                <w:b/>
                <w:bCs/>
                <w:sz w:val="24"/>
              </w:rPr>
            </w:pPr>
            <w:r>
              <w:rPr>
                <w:rFonts w:hint="eastAsia" w:ascii="仿宋" w:hAnsi="仿宋" w:eastAsia="仿宋" w:cs="仿宋"/>
                <w:b/>
                <w:bCs/>
                <w:sz w:val="24"/>
                <w:szCs w:val="24"/>
              </w:rPr>
              <w:t>包年服务费</w:t>
            </w:r>
            <w:r>
              <w:rPr>
                <w:rFonts w:hint="eastAsia" w:ascii="仿宋" w:hAnsi="仿宋" w:eastAsia="仿宋" w:cs="仿宋"/>
                <w:b/>
                <w:bCs/>
                <w:sz w:val="24"/>
              </w:rPr>
              <w:t>限价</w:t>
            </w:r>
          </w:p>
          <w:p w14:paraId="0202F420">
            <w:pPr>
              <w:tabs>
                <w:tab w:val="left" w:pos="426"/>
              </w:tabs>
              <w:spacing w:after="78" w:line="240" w:lineRule="auto"/>
              <w:jc w:val="center"/>
              <w:rPr>
                <w:rFonts w:hint="eastAsia" w:ascii="仿宋" w:hAnsi="仿宋" w:eastAsia="仿宋"/>
                <w:b/>
                <w:bCs/>
                <w:kern w:val="0"/>
                <w:sz w:val="24"/>
              </w:rPr>
            </w:pPr>
            <w:r>
              <w:rPr>
                <w:rFonts w:hint="eastAsia" w:ascii="仿宋" w:hAnsi="仿宋" w:eastAsia="仿宋" w:cs="仿宋"/>
                <w:b/>
                <w:bCs/>
                <w:sz w:val="24"/>
              </w:rPr>
              <w:t>（元）</w:t>
            </w:r>
          </w:p>
        </w:tc>
        <w:tc>
          <w:tcPr>
            <w:tcW w:w="461" w:type="pct"/>
            <w:vAlign w:val="center"/>
          </w:tcPr>
          <w:p w14:paraId="465C0EA5">
            <w:pPr>
              <w:widowControl/>
              <w:spacing w:afterLines="0" w:line="240" w:lineRule="auto"/>
              <w:jc w:val="center"/>
              <w:rPr>
                <w:rFonts w:hint="eastAsia" w:ascii="仿宋" w:hAnsi="仿宋" w:eastAsia="仿宋"/>
                <w:b/>
                <w:bCs/>
                <w:kern w:val="0"/>
                <w:sz w:val="24"/>
              </w:rPr>
            </w:pPr>
            <w:r>
              <w:rPr>
                <w:rFonts w:hint="eastAsia" w:ascii="仿宋" w:hAnsi="仿宋" w:eastAsia="仿宋"/>
                <w:b/>
                <w:bCs/>
                <w:kern w:val="0"/>
                <w:sz w:val="24"/>
              </w:rPr>
              <w:t>备注</w:t>
            </w:r>
          </w:p>
        </w:tc>
      </w:tr>
      <w:tr w14:paraId="04D50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1" w:hRule="atLeast"/>
        </w:trPr>
        <w:tc>
          <w:tcPr>
            <w:tcW w:w="404" w:type="pct"/>
            <w:vAlign w:val="center"/>
          </w:tcPr>
          <w:p w14:paraId="33657924">
            <w:pPr>
              <w:widowControl/>
              <w:spacing w:afterLines="0" w:line="240" w:lineRule="auto"/>
              <w:jc w:val="center"/>
              <w:rPr>
                <w:rFonts w:hint="eastAsia" w:ascii="仿宋" w:hAnsi="仿宋" w:eastAsia="仿宋"/>
                <w:kern w:val="0"/>
                <w:sz w:val="24"/>
              </w:rPr>
            </w:pPr>
            <w:r>
              <w:rPr>
                <w:rFonts w:hint="eastAsia" w:ascii="仿宋" w:hAnsi="仿宋" w:eastAsia="仿宋"/>
                <w:kern w:val="0"/>
                <w:sz w:val="24"/>
              </w:rPr>
              <w:t>1</w:t>
            </w:r>
          </w:p>
        </w:tc>
        <w:tc>
          <w:tcPr>
            <w:tcW w:w="708" w:type="pct"/>
            <w:vAlign w:val="center"/>
          </w:tcPr>
          <w:p w14:paraId="56E52C0C">
            <w:pPr>
              <w:widowControl/>
              <w:spacing w:afterLines="0" w:line="240" w:lineRule="auto"/>
              <w:jc w:val="center"/>
              <w:rPr>
                <w:rFonts w:hint="eastAsia" w:ascii="仿宋" w:hAnsi="仿宋" w:eastAsia="仿宋"/>
                <w:kern w:val="0"/>
                <w:sz w:val="24"/>
              </w:rPr>
            </w:pPr>
            <w:r>
              <w:rPr>
                <w:rFonts w:hint="eastAsia" w:ascii="仿宋" w:hAnsi="仿宋" w:eastAsia="仿宋"/>
                <w:kern w:val="0"/>
                <w:sz w:val="24"/>
              </w:rPr>
              <w:t>废活性炭</w:t>
            </w:r>
          </w:p>
        </w:tc>
        <w:tc>
          <w:tcPr>
            <w:tcW w:w="711" w:type="pct"/>
            <w:vAlign w:val="center"/>
          </w:tcPr>
          <w:p w14:paraId="30D7BDA0">
            <w:pPr>
              <w:widowControl/>
              <w:spacing w:afterLines="0" w:line="240" w:lineRule="auto"/>
              <w:jc w:val="center"/>
              <w:rPr>
                <w:rFonts w:hint="eastAsia" w:ascii="仿宋" w:hAnsi="仿宋" w:eastAsia="仿宋"/>
                <w:kern w:val="0"/>
                <w:sz w:val="24"/>
              </w:rPr>
            </w:pPr>
            <w:r>
              <w:rPr>
                <w:rFonts w:hint="eastAsia" w:ascii="仿宋" w:hAnsi="仿宋" w:eastAsia="仿宋"/>
                <w:kern w:val="0"/>
                <w:sz w:val="24"/>
              </w:rPr>
              <w:t>HW49</w:t>
            </w:r>
          </w:p>
        </w:tc>
        <w:tc>
          <w:tcPr>
            <w:tcW w:w="833" w:type="pct"/>
            <w:vAlign w:val="center"/>
          </w:tcPr>
          <w:p w14:paraId="5F9260DD">
            <w:pPr>
              <w:widowControl/>
              <w:spacing w:afterLines="0" w:line="240" w:lineRule="auto"/>
              <w:jc w:val="center"/>
              <w:rPr>
                <w:rFonts w:hint="eastAsia" w:ascii="仿宋" w:hAnsi="仿宋" w:eastAsia="仿宋"/>
                <w:kern w:val="0"/>
                <w:sz w:val="24"/>
              </w:rPr>
            </w:pPr>
            <w:r>
              <w:rPr>
                <w:rFonts w:hint="eastAsia" w:ascii="仿宋" w:hAnsi="仿宋" w:eastAsia="仿宋"/>
                <w:kern w:val="0"/>
                <w:sz w:val="24"/>
              </w:rPr>
              <w:t>900-039-49</w:t>
            </w:r>
          </w:p>
        </w:tc>
        <w:tc>
          <w:tcPr>
            <w:tcW w:w="456" w:type="pct"/>
            <w:vAlign w:val="center"/>
          </w:tcPr>
          <w:p w14:paraId="0D9AF1E7">
            <w:pPr>
              <w:widowControl/>
              <w:spacing w:afterLines="0" w:line="240" w:lineRule="auto"/>
              <w:jc w:val="center"/>
              <w:rPr>
                <w:rFonts w:hint="eastAsia" w:ascii="仿宋" w:hAnsi="仿宋" w:eastAsia="仿宋"/>
                <w:kern w:val="0"/>
                <w:sz w:val="24"/>
              </w:rPr>
            </w:pPr>
            <w:r>
              <w:rPr>
                <w:rFonts w:hint="eastAsia" w:ascii="仿宋" w:hAnsi="仿宋" w:eastAsia="仿宋"/>
                <w:kern w:val="0"/>
                <w:sz w:val="24"/>
              </w:rPr>
              <w:t>吨</w:t>
            </w:r>
          </w:p>
        </w:tc>
        <w:tc>
          <w:tcPr>
            <w:tcW w:w="717" w:type="pct"/>
            <w:vAlign w:val="center"/>
          </w:tcPr>
          <w:p w14:paraId="0C3EE8D0">
            <w:pPr>
              <w:widowControl/>
              <w:spacing w:afterLines="0" w:line="240" w:lineRule="auto"/>
              <w:jc w:val="center"/>
              <w:rPr>
                <w:rFonts w:hint="eastAsia" w:ascii="仿宋" w:hAnsi="仿宋" w:eastAsia="仿宋"/>
                <w:kern w:val="0"/>
                <w:sz w:val="24"/>
              </w:rPr>
            </w:pPr>
            <w:r>
              <w:rPr>
                <w:rFonts w:hint="eastAsia" w:ascii="仿宋" w:hAnsi="仿宋" w:eastAsia="仿宋"/>
                <w:kern w:val="0"/>
                <w:sz w:val="24"/>
              </w:rPr>
              <w:t>1.5</w:t>
            </w:r>
          </w:p>
        </w:tc>
        <w:tc>
          <w:tcPr>
            <w:tcW w:w="706" w:type="pct"/>
            <w:vAlign w:val="center"/>
          </w:tcPr>
          <w:p w14:paraId="64762863">
            <w:pPr>
              <w:autoSpaceDE w:val="0"/>
              <w:autoSpaceDN w:val="0"/>
              <w:adjustRightInd w:val="0"/>
              <w:snapToGrid w:val="0"/>
              <w:spacing w:afterLines="0" w:line="240" w:lineRule="auto"/>
              <w:jc w:val="center"/>
              <w:rPr>
                <w:rFonts w:hint="eastAsia" w:ascii="仿宋" w:hAnsi="仿宋" w:eastAsia="仿宋"/>
                <w:kern w:val="0"/>
                <w:sz w:val="24"/>
              </w:rPr>
            </w:pPr>
            <w:r>
              <w:rPr>
                <w:rFonts w:hint="eastAsia" w:ascii="仿宋" w:hAnsi="仿宋" w:eastAsia="仿宋" w:cs="仿宋"/>
                <w:color w:val="000000"/>
                <w:kern w:val="0"/>
                <w:sz w:val="24"/>
              </w:rPr>
              <w:t>10000</w:t>
            </w:r>
          </w:p>
        </w:tc>
        <w:tc>
          <w:tcPr>
            <w:tcW w:w="461" w:type="pct"/>
            <w:vAlign w:val="center"/>
          </w:tcPr>
          <w:p w14:paraId="23F839FB">
            <w:pPr>
              <w:widowControl/>
              <w:spacing w:afterLines="0" w:line="240" w:lineRule="auto"/>
              <w:jc w:val="center"/>
              <w:rPr>
                <w:rFonts w:hint="eastAsia" w:ascii="仿宋" w:hAnsi="仿宋" w:eastAsia="仿宋"/>
                <w:kern w:val="0"/>
                <w:sz w:val="24"/>
                <w:szCs w:val="24"/>
              </w:rPr>
            </w:pPr>
          </w:p>
        </w:tc>
      </w:tr>
    </w:tbl>
    <w:p w14:paraId="2A18D70B">
      <w:pPr>
        <w:widowControl/>
        <w:spacing w:afterLines="0" w:line="24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sz w:val="28"/>
          <w:szCs w:val="28"/>
        </w:rPr>
        <w:t>本项目的报价为包年服务费，包含但不限于合同约定的危险废物处理处置的费用、取样检测分析、6%增值税费、危险废物处置方案提供及危险废物的运输及处置等全部费用。</w:t>
      </w:r>
    </w:p>
    <w:p w14:paraId="15FE99B7">
      <w:pPr>
        <w:widowControl/>
        <w:spacing w:afterLines="0" w:line="24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（三）</w:t>
      </w:r>
      <w:r>
        <w:rPr>
          <w:rFonts w:hint="eastAsia" w:ascii="Times New Roman" w:hAnsi="Times New Roman" w:eastAsia="仿宋_GB2312"/>
          <w:bCs/>
          <w:color w:val="000000"/>
          <w:sz w:val="28"/>
          <w:szCs w:val="28"/>
          <w:lang w:val="en-US" w:eastAsia="zh-CN"/>
        </w:rPr>
        <w:t>响应时间</w:t>
      </w:r>
      <w:r>
        <w:rPr>
          <w:rFonts w:hint="eastAsia" w:ascii="仿宋_GB2312" w:hAnsi="仿宋_GB2312" w:eastAsia="仿宋_GB2312" w:cs="仿宋_GB2312"/>
          <w:bCs/>
          <w:color w:val="000000"/>
          <w:sz w:val="28"/>
          <w:szCs w:val="28"/>
        </w:rPr>
        <w:t>要求：收到甲方通知后，两天内到达收运地点。</w:t>
      </w:r>
    </w:p>
    <w:p w14:paraId="635BB75A">
      <w:pPr>
        <w:widowControl/>
        <w:spacing w:afterLines="0" w:line="24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（四）付款方式：按双方确认报价单内容结算，合同签订后，乙方开具付款申请表、发票等付款材料给甲方，甲方收到付款材料后以银行汇款转账或现金形式支付该款项。</w:t>
      </w:r>
    </w:p>
    <w:p w14:paraId="5095E889">
      <w:pPr>
        <w:widowControl/>
        <w:spacing w:afterLines="0" w:line="24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（五）收运地点：广东省东莞市中堂镇北王路中堂段9号7栋103室。</w:t>
      </w:r>
    </w:p>
    <w:p w14:paraId="4F55AE6A">
      <w:pPr>
        <w:widowControl/>
        <w:spacing w:afterLines="0" w:line="24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（六）包年服务费系根据合同签订时的情况及年预计量确定，若实际处理量低于年预计量的，服务费用仍保持不变；若实际处理量高于年预计量</w:t>
      </w:r>
      <w:r>
        <w:rPr>
          <w:rFonts w:ascii="仿宋_GB2312" w:hAnsi="仿宋_GB2312" w:eastAsia="仿宋_GB2312" w:cs="仿宋_GB2312"/>
          <w:bCs/>
          <w:color w:val="000000"/>
          <w:sz w:val="28"/>
          <w:szCs w:val="28"/>
        </w:rPr>
        <w:t>10%</w:t>
      </w:r>
      <w:r>
        <w:rPr>
          <w:rFonts w:hint="eastAsia" w:ascii="仿宋_GB2312" w:hAnsi="仿宋_GB2312" w:eastAsia="仿宋_GB2312" w:cs="仿宋_GB2312"/>
          <w:bCs/>
          <w:color w:val="000000"/>
          <w:sz w:val="28"/>
          <w:szCs w:val="28"/>
        </w:rPr>
        <w:t>的，超出部分的按单价（包年服务费</w:t>
      </w:r>
      <w:r>
        <w:rPr>
          <w:rFonts w:ascii="仿宋_GB2312" w:hAnsi="仿宋_GB2312" w:eastAsia="仿宋_GB2312" w:cs="仿宋_GB2312"/>
          <w:bCs/>
          <w:color w:val="000000"/>
          <w:sz w:val="28"/>
          <w:szCs w:val="28"/>
        </w:rPr>
        <w:t>/</w:t>
      </w:r>
      <w:r>
        <w:rPr>
          <w:rFonts w:hint="eastAsia" w:ascii="仿宋_GB2312" w:hAnsi="仿宋_GB2312" w:eastAsia="仿宋_GB2312" w:cs="仿宋_GB2312"/>
          <w:bCs/>
          <w:color w:val="000000"/>
          <w:sz w:val="28"/>
          <w:szCs w:val="28"/>
        </w:rPr>
        <w:t>1.5吨）另行收费。</w:t>
      </w:r>
    </w:p>
    <w:p w14:paraId="2206BEBE">
      <w:pPr>
        <w:spacing w:after="78" w:line="640" w:lineRule="exact"/>
        <w:ind w:firstLine="640" w:firstLineChars="200"/>
        <w:jc w:val="left"/>
        <w:rPr>
          <w:rFonts w:hint="eastAsia" w:ascii="黑体" w:hAnsi="黑体" w:eastAsia="黑体" w:cs="黑体"/>
          <w:bCs/>
          <w:color w:val="000000"/>
          <w:kern w:val="0"/>
          <w:sz w:val="32"/>
          <w:szCs w:val="32"/>
        </w:rPr>
      </w:pPr>
      <w:r>
        <w:rPr>
          <w:rFonts w:hint="eastAsia" w:ascii="Times New Roman" w:hAnsi="Times New Roman" w:eastAsia="黑体" w:cs="黑体"/>
          <w:bCs/>
          <w:color w:val="000000"/>
          <w:kern w:val="0"/>
          <w:sz w:val="32"/>
          <w:szCs w:val="32"/>
        </w:rPr>
        <w:t>二、资格要求及证明材料</w:t>
      </w:r>
    </w:p>
    <w:p w14:paraId="3AEAE2C1">
      <w:pPr>
        <w:widowControl/>
        <w:spacing w:line="640" w:lineRule="exact"/>
        <w:ind w:firstLine="560" w:firstLineChars="200"/>
        <w:jc w:val="left"/>
        <w:rPr>
          <w:rFonts w:hint="eastAsia" w:ascii="仿宋_GB2312" w:hAnsi="仿宋_GB2312" w:eastAsia="仿宋_GB2312" w:cs="仿宋_GB2312"/>
          <w:bCs/>
          <w:color w:val="000000"/>
          <w:sz w:val="28"/>
          <w:szCs w:val="28"/>
        </w:rPr>
      </w:pPr>
      <w:bookmarkStart w:id="0" w:name="_Hlk173241672"/>
      <w:r>
        <w:rPr>
          <w:rFonts w:hint="eastAsia" w:ascii="仿宋_GB2312" w:hAnsi="仿宋_GB2312" w:eastAsia="仿宋_GB2312" w:cs="仿宋_GB2312"/>
          <w:bCs/>
          <w:color w:val="000000"/>
          <w:sz w:val="28"/>
          <w:szCs w:val="28"/>
          <w:lang w:val="en-US" w:eastAsia="zh-CN"/>
        </w:rPr>
        <w:t>（一）</w:t>
      </w:r>
      <w:r>
        <w:rPr>
          <w:rFonts w:hint="eastAsia" w:ascii="仿宋_GB2312" w:hAnsi="仿宋_GB2312" w:eastAsia="仿宋_GB2312" w:cs="仿宋_GB2312"/>
          <w:bCs/>
          <w:color w:val="000000"/>
          <w:sz w:val="28"/>
          <w:szCs w:val="28"/>
        </w:rPr>
        <w:t>须在中华人民共和国境内注册，具备独立承担民事责任的能力（报价文件内提供有效的营业执照复印件加盖参选单位公章或业务章）；</w:t>
      </w:r>
    </w:p>
    <w:p w14:paraId="517CD1F4">
      <w:pPr>
        <w:widowControl/>
        <w:spacing w:line="64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（二）</w:t>
      </w:r>
      <w:r>
        <w:rPr>
          <w:rFonts w:hint="eastAsia" w:ascii="仿宋_GB2312" w:hAnsi="仿宋_GB2312" w:eastAsia="仿宋_GB2312" w:cs="仿宋_GB2312"/>
          <w:bCs/>
          <w:color w:val="000000"/>
          <w:sz w:val="28"/>
          <w:szCs w:val="28"/>
        </w:rPr>
        <w:t>具有良好的商业信誉、未被列入工商系统经营异常名录或严重违法失信企业名单，未被列入人民法院公布的失信被执行人名单（由供应商在《承诺函》中作出声明）；</w:t>
      </w:r>
    </w:p>
    <w:p w14:paraId="1F132A76">
      <w:pPr>
        <w:pStyle w:val="8"/>
        <w:spacing w:line="640" w:lineRule="exact"/>
        <w:ind w:firstLine="560" w:firstLineChars="200"/>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lang w:val="en-US" w:eastAsia="zh-CN"/>
        </w:rPr>
        <w:t>（三）</w:t>
      </w:r>
      <w:r>
        <w:rPr>
          <w:rFonts w:hint="eastAsia" w:ascii="仿宋_GB2312" w:hAnsi="仿宋_GB2312" w:eastAsia="仿宋_GB2312" w:cs="仿宋_GB2312"/>
          <w:bCs/>
          <w:color w:val="000000"/>
          <w:sz w:val="28"/>
          <w:szCs w:val="28"/>
        </w:rPr>
        <w:t>财务状况要求：近一年内或成立至今（成立不足一年的单位）财务状况无亏损或净资产大于0（由供应商在《承诺函》中作出声明）；</w:t>
      </w:r>
    </w:p>
    <w:p w14:paraId="5DCF889D">
      <w:pPr>
        <w:widowControl/>
        <w:spacing w:line="64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（四）</w:t>
      </w:r>
      <w:r>
        <w:rPr>
          <w:rFonts w:hint="eastAsia" w:ascii="仿宋_GB2312" w:hAnsi="仿宋_GB2312" w:eastAsia="仿宋_GB2312" w:cs="仿宋_GB2312"/>
          <w:color w:val="000000"/>
          <w:sz w:val="28"/>
          <w:szCs w:val="28"/>
        </w:rPr>
        <w:t>近两年内（2023年7月至今）或成立至今（成立不足两年的单位）至少具备一项正在实施或已完成的类似业绩</w:t>
      </w:r>
      <w:r>
        <w:rPr>
          <w:rFonts w:hint="eastAsia" w:ascii="仿宋_GB2312" w:hAnsi="仿宋_GB2312" w:eastAsia="仿宋_GB2312" w:cs="仿宋_GB2312"/>
          <w:bCs/>
          <w:color w:val="000000"/>
          <w:sz w:val="28"/>
          <w:szCs w:val="28"/>
        </w:rPr>
        <w:t>（由供应商在《承诺函》中作出声明）</w:t>
      </w:r>
      <w:r>
        <w:rPr>
          <w:rFonts w:hint="eastAsia" w:ascii="仿宋_GB2312" w:hAnsi="仿宋_GB2312" w:eastAsia="仿宋_GB2312" w:cs="仿宋_GB2312"/>
          <w:color w:val="000000"/>
          <w:sz w:val="28"/>
          <w:szCs w:val="28"/>
        </w:rPr>
        <w:t>；</w:t>
      </w:r>
    </w:p>
    <w:p w14:paraId="03C859D7">
      <w:pPr>
        <w:widowControl/>
        <w:spacing w:line="640" w:lineRule="exact"/>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lang w:val="en-US" w:eastAsia="zh-CN"/>
        </w:rPr>
        <w:t>（五）</w:t>
      </w:r>
      <w:r>
        <w:rPr>
          <w:rFonts w:hint="eastAsia" w:ascii="仿宋_GB2312" w:hAnsi="仿宋_GB2312" w:eastAsia="仿宋_GB2312" w:cs="仿宋_GB2312"/>
          <w:bCs/>
          <w:color w:val="000000"/>
          <w:sz w:val="28"/>
          <w:szCs w:val="28"/>
        </w:rPr>
        <w:t>单位负责人为同一人或者存在直接控股、管理关系的不同供应商，不得参加同一合同项下的采购活动（由供应商在《承诺函》中作出声明）；</w:t>
      </w:r>
    </w:p>
    <w:p w14:paraId="3980497D">
      <w:pPr>
        <w:spacing w:line="640" w:lineRule="exact"/>
        <w:ind w:firstLine="560" w:firstLineChars="200"/>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lang w:val="en-US" w:eastAsia="zh-CN"/>
        </w:rPr>
        <w:t>六</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不接受联合体参选（由供应商在《承诺函》中作出声明）；</w:t>
      </w:r>
    </w:p>
    <w:p w14:paraId="4AD1EE7E">
      <w:pPr>
        <w:pStyle w:val="2"/>
        <w:spacing w:line="640" w:lineRule="exact"/>
        <w:ind w:left="0" w:leftChars="0" w:firstLine="560" w:firstLineChars="200"/>
        <w:rPr>
          <w:rFonts w:hint="eastAsia" w:ascii="仿宋_GB2312" w:hAnsi="仿宋_GB2312" w:eastAsia="仿宋_GB2312" w:cs="仿宋_GB2312"/>
          <w:sz w:val="28"/>
          <w:szCs w:val="28"/>
        </w:rPr>
      </w:pP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lang w:val="en-US" w:eastAsia="zh-CN"/>
        </w:rPr>
        <w:t>七</w:t>
      </w:r>
      <w:r>
        <w:rPr>
          <w:rFonts w:hint="eastAsia" w:ascii="仿宋_GB2312" w:hAnsi="仿宋_GB2312" w:eastAsia="仿宋_GB2312" w:cs="仿宋_GB2312"/>
          <w:sz w:val="28"/>
          <w:szCs w:val="28"/>
          <w:lang w:eastAsia="zh-CN"/>
        </w:rPr>
        <w:t>）</w:t>
      </w:r>
      <w:r>
        <w:rPr>
          <w:rFonts w:hint="eastAsia" w:ascii="仿宋_GB2312" w:hAnsi="仿宋_GB2312" w:eastAsia="仿宋_GB2312" w:cs="仿宋_GB2312"/>
          <w:sz w:val="28"/>
          <w:szCs w:val="28"/>
        </w:rPr>
        <w:t>特定资格要求:参选单位必须具备</w:t>
      </w:r>
      <w:r>
        <w:rPr>
          <w:rFonts w:hint="eastAsia" w:ascii="仿宋_GB2312" w:hAnsi="仿宋_GB2312" w:eastAsia="仿宋_GB2312" w:cs="仿宋_GB2312"/>
          <w:bCs/>
          <w:color w:val="000000"/>
          <w:sz w:val="28"/>
          <w:szCs w:val="28"/>
        </w:rPr>
        <w:t>危险废物经营许可证资质。</w:t>
      </w:r>
      <w:bookmarkStart w:id="13" w:name="_GoBack"/>
      <w:r>
        <w:rPr>
          <w:rFonts w:hint="eastAsia" w:ascii="仿宋_GB2312" w:hAnsi="仿宋_GB2312" w:eastAsia="仿宋_GB2312" w:cs="仿宋_GB2312"/>
          <w:bCs/>
          <w:color w:val="auto"/>
          <w:sz w:val="28"/>
          <w:szCs w:val="28"/>
        </w:rPr>
        <w:t>核准经营危险废物代码包含“900-039-49”</w:t>
      </w:r>
      <w:bookmarkEnd w:id="13"/>
      <w:r>
        <w:rPr>
          <w:rFonts w:hint="eastAsia" w:ascii="仿宋_GB2312" w:hAnsi="仿宋_GB2312" w:eastAsia="仿宋_GB2312" w:cs="仿宋_GB2312"/>
          <w:sz w:val="28"/>
          <w:szCs w:val="28"/>
        </w:rPr>
        <w:t>（证明材料:提供</w:t>
      </w:r>
      <w:r>
        <w:rPr>
          <w:rFonts w:hint="eastAsia" w:ascii="仿宋_GB2312" w:hAnsi="仿宋_GB2312" w:eastAsia="仿宋_GB2312" w:cs="仿宋_GB2312"/>
          <w:bCs/>
          <w:color w:val="000000"/>
          <w:sz w:val="28"/>
          <w:szCs w:val="28"/>
        </w:rPr>
        <w:t>危险废物经营许可证</w:t>
      </w:r>
      <w:r>
        <w:rPr>
          <w:rFonts w:hint="eastAsia" w:ascii="仿宋_GB2312" w:hAnsi="仿宋_GB2312" w:eastAsia="仿宋_GB2312" w:cs="仿宋_GB2312"/>
          <w:sz w:val="28"/>
          <w:szCs w:val="28"/>
        </w:rPr>
        <w:t>复印件）</w:t>
      </w:r>
    </w:p>
    <w:bookmarkEnd w:id="0"/>
    <w:p w14:paraId="6E8213FA">
      <w:pPr>
        <w:widowControl/>
        <w:spacing w:before="157" w:beforeLines="50" w:after="0" w:afterLines="0" w:line="240" w:lineRule="auto"/>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三、参选文件要求</w:t>
      </w:r>
    </w:p>
    <w:p w14:paraId="73E715E8">
      <w:pPr>
        <w:widowControl/>
        <w:tabs>
          <w:tab w:val="left" w:pos="7665"/>
        </w:tabs>
        <w:spacing w:afterLines="0" w:line="240" w:lineRule="auto"/>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参选单位应就本次选聘报送相关参选文件，包括：</w:t>
      </w:r>
    </w:p>
    <w:p w14:paraId="034052AE">
      <w:pPr>
        <w:widowControl/>
        <w:tabs>
          <w:tab w:val="left" w:pos="7665"/>
        </w:tabs>
        <w:spacing w:afterLines="0" w:line="240" w:lineRule="auto"/>
        <w:ind w:firstLine="560" w:firstLineChars="200"/>
        <w:jc w:val="left"/>
        <w:rPr>
          <w:rFonts w:hint="eastAsia" w:ascii="仿宋_GB2312" w:hAnsi="仿宋_GB2312" w:eastAsia="仿宋_GB2312" w:cs="仿宋_GB2312"/>
          <w:kern w:val="0"/>
          <w:sz w:val="28"/>
          <w:szCs w:val="28"/>
        </w:rPr>
      </w:pPr>
      <w:bookmarkStart w:id="1" w:name="_Hlk173767070"/>
      <w:r>
        <w:rPr>
          <w:rFonts w:hint="eastAsia" w:ascii="仿宋_GB2312" w:hAnsi="仿宋_GB2312" w:eastAsia="仿宋_GB2312" w:cs="仿宋_GB2312"/>
          <w:kern w:val="0"/>
          <w:sz w:val="28"/>
          <w:szCs w:val="28"/>
        </w:rPr>
        <w:t>1.供应商基本情况表；</w:t>
      </w:r>
    </w:p>
    <w:p w14:paraId="55B0982E">
      <w:pPr>
        <w:widowControl/>
        <w:tabs>
          <w:tab w:val="left" w:pos="7665"/>
        </w:tabs>
        <w:spacing w:afterLines="0" w:line="240" w:lineRule="auto"/>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2.资质文件（承诺函、营业执照、一般工业固体废物处置资质文件）；</w:t>
      </w:r>
    </w:p>
    <w:p w14:paraId="72CAF4AD">
      <w:pPr>
        <w:widowControl/>
        <w:tabs>
          <w:tab w:val="left" w:pos="7665"/>
        </w:tabs>
        <w:spacing w:afterLines="0" w:line="240" w:lineRule="auto"/>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6F198B21">
      <w:pPr>
        <w:widowControl/>
        <w:tabs>
          <w:tab w:val="left" w:pos="7665"/>
        </w:tabs>
        <w:spacing w:afterLines="0" w:line="240" w:lineRule="auto"/>
        <w:ind w:firstLine="560" w:firstLineChars="200"/>
        <w:jc w:val="left"/>
        <w:rPr>
          <w:rFonts w:hint="eastAsia" w:ascii="仿宋_GB2312" w:hAnsi="仿宋_GB2312" w:eastAsia="仿宋_GB2312" w:cs="仿宋_GB2312"/>
          <w:kern w:val="0"/>
          <w:sz w:val="28"/>
          <w:szCs w:val="28"/>
        </w:rPr>
      </w:pPr>
      <w:r>
        <w:rPr>
          <w:rFonts w:hint="eastAsia" w:ascii="仿宋_GB2312" w:hAnsi="仿宋_GB2312" w:eastAsia="仿宋_GB2312" w:cs="仿宋_GB2312"/>
          <w:kern w:val="0"/>
          <w:sz w:val="28"/>
          <w:szCs w:val="28"/>
        </w:rPr>
        <w:t>以上格式可参考</w:t>
      </w:r>
      <w:r>
        <w:rPr>
          <w:rFonts w:hint="eastAsia" w:ascii="仿宋_GB2312" w:hAnsi="仿宋_GB2312" w:eastAsia="仿宋_GB2312" w:cs="仿宋_GB2312"/>
          <w:b/>
          <w:bCs/>
          <w:kern w:val="0"/>
          <w:sz w:val="28"/>
          <w:szCs w:val="28"/>
        </w:rPr>
        <w:t>第三章 报价文件格式</w:t>
      </w:r>
      <w:r>
        <w:rPr>
          <w:rFonts w:hint="eastAsia" w:ascii="仿宋_GB2312" w:hAnsi="仿宋_GB2312" w:eastAsia="仿宋_GB2312" w:cs="仿宋_GB2312"/>
          <w:kern w:val="0"/>
          <w:sz w:val="28"/>
          <w:szCs w:val="28"/>
        </w:rPr>
        <w:t>，以上资料均需加盖公章、业务章或合同章（三选一），否则做报价无效处理，并发送邮件至采购联系人邮箱（邮件标题：公司名称+危险废物收集服务项目）。</w:t>
      </w:r>
    </w:p>
    <w:bookmarkEnd w:id="1"/>
    <w:p w14:paraId="41FB5B9D">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四、选聘程序</w:t>
      </w:r>
    </w:p>
    <w:p w14:paraId="62F65BCB">
      <w:pPr>
        <w:spacing w:afterLines="0" w:line="240" w:lineRule="auto"/>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（一）在截止报价时间前，各参选单位以邮件形式递交报价文件至询价公告指定邮箱；</w:t>
      </w:r>
    </w:p>
    <w:p w14:paraId="202C58B5">
      <w:pPr>
        <w:spacing w:afterLines="0" w:line="240" w:lineRule="auto"/>
        <w:ind w:firstLine="560" w:firstLineChars="200"/>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（二）</w:t>
      </w:r>
      <w:r>
        <w:rPr>
          <w:rFonts w:hint="eastAsia" w:ascii="仿宋_GB2312" w:hAnsi="仿宋_GB2312" w:eastAsia="仿宋_GB2312" w:cs="仿宋_GB2312"/>
          <w:sz w:val="28"/>
          <w:szCs w:val="28"/>
        </w:rPr>
        <w:t>评审委员会</w:t>
      </w:r>
      <w:r>
        <w:rPr>
          <w:rFonts w:hint="eastAsia" w:ascii="仿宋_GB2312" w:hAnsi="仿宋_GB2312" w:eastAsia="仿宋_GB2312" w:cs="仿宋_GB2312"/>
          <w:color w:val="000000"/>
          <w:sz w:val="28"/>
          <w:szCs w:val="28"/>
        </w:rPr>
        <w:t>对参选单位进行资格审查，如存在审核未通过的单位，则记录原因并通知未通过的单位；</w:t>
      </w:r>
    </w:p>
    <w:p w14:paraId="0E2074A3">
      <w:pPr>
        <w:spacing w:afterLines="0" w:line="240" w:lineRule="auto"/>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（三）</w:t>
      </w:r>
      <w:r>
        <w:rPr>
          <w:rFonts w:hint="eastAsia" w:ascii="仿宋_GB2312" w:hAnsi="仿宋_GB2312" w:eastAsia="仿宋_GB2312" w:cs="仿宋_GB2312"/>
          <w:sz w:val="28"/>
          <w:szCs w:val="28"/>
        </w:rPr>
        <w:t>评审委员会</w:t>
      </w:r>
      <w:r>
        <w:rPr>
          <w:rFonts w:hint="eastAsia" w:ascii="仿宋_GB2312" w:hAnsi="仿宋_GB2312" w:eastAsia="仿宋_GB2312" w:cs="仿宋_GB2312"/>
          <w:color w:val="000000"/>
          <w:sz w:val="28"/>
          <w:szCs w:val="28"/>
        </w:rPr>
        <w:t>根据询价规则形成询价报告，确定候选人排名；</w:t>
      </w:r>
    </w:p>
    <w:p w14:paraId="0E274DAF">
      <w:pPr>
        <w:spacing w:afterLines="0" w:line="240" w:lineRule="auto"/>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（四）询价结束后，采购人将询价结果报公司内部决策，通过后将结果通知中选单位，双方择日签订正式协议。</w:t>
      </w:r>
    </w:p>
    <w:p w14:paraId="14DBFC75">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五、选聘材料提交</w:t>
      </w:r>
    </w:p>
    <w:p w14:paraId="5670CBBA">
      <w:pPr>
        <w:spacing w:afterLines="0" w:line="24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color w:val="000000"/>
          <w:sz w:val="28"/>
          <w:szCs w:val="28"/>
        </w:rPr>
        <w:t>（一）响应文件递交截止时间为</w:t>
      </w:r>
      <w:r>
        <w:rPr>
          <w:rFonts w:hint="eastAsia" w:ascii="仿宋_GB2312" w:hAnsi="仿宋_GB2312" w:eastAsia="仿宋_GB2312" w:cs="仿宋_GB2312"/>
          <w:bCs/>
          <w:color w:val="000000"/>
          <w:sz w:val="28"/>
          <w:szCs w:val="28"/>
        </w:rPr>
        <w:t>2025年7月</w:t>
      </w:r>
      <w:r>
        <w:rPr>
          <w:rFonts w:hint="eastAsia" w:ascii="仿宋_GB2312" w:hAnsi="仿宋_GB2312" w:eastAsia="仿宋_GB2312" w:cs="仿宋_GB2312"/>
          <w:bCs/>
          <w:color w:val="000000"/>
          <w:sz w:val="28"/>
          <w:szCs w:val="28"/>
          <w:lang w:val="en-US" w:eastAsia="zh-CN"/>
        </w:rPr>
        <w:t>15</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w:t>
      </w:r>
      <w:r>
        <w:rPr>
          <w:rFonts w:hint="eastAsia" w:ascii="仿宋_GB2312" w:hAnsi="仿宋_GB2312" w:eastAsia="仿宋_GB2312" w:cs="仿宋_GB2312"/>
          <w:bCs/>
          <w:color w:val="000000"/>
          <w:sz w:val="28"/>
          <w:szCs w:val="28"/>
        </w:rPr>
        <w:t>00</w:t>
      </w:r>
      <w:r>
        <w:rPr>
          <w:rFonts w:hint="eastAsia" w:ascii="仿宋_GB2312" w:hAnsi="仿宋_GB2312" w:eastAsia="仿宋_GB2312" w:cs="仿宋_GB2312"/>
          <w:color w:val="000000"/>
          <w:sz w:val="28"/>
          <w:szCs w:val="28"/>
        </w:rPr>
        <w:t>分（北京时间）；</w:t>
      </w:r>
    </w:p>
    <w:p w14:paraId="40447364">
      <w:pPr>
        <w:spacing w:afterLines="0" w:line="240" w:lineRule="auto"/>
        <w:ind w:firstLine="560" w:firstLineChars="200"/>
        <w:jc w:val="left"/>
        <w:rPr>
          <w:rFonts w:hint="eastAsia" w:ascii="仿宋_GB2312" w:hAnsi="仿宋_GB2312" w:eastAsia="仿宋_GB2312" w:cs="仿宋_GB2312"/>
          <w:sz w:val="28"/>
          <w:szCs w:val="28"/>
        </w:rPr>
      </w:pPr>
      <w:r>
        <w:rPr>
          <w:rFonts w:hint="eastAsia" w:ascii="仿宋_GB2312" w:hAnsi="仿宋_GB2312" w:eastAsia="仿宋_GB2312" w:cs="仿宋_GB2312"/>
          <w:bCs/>
          <w:color w:val="000000"/>
          <w:sz w:val="28"/>
          <w:szCs w:val="28"/>
        </w:rPr>
        <w:t>（二）响应文件递交方式</w:t>
      </w:r>
    </w:p>
    <w:p w14:paraId="1D0B8E7C">
      <w:pPr>
        <w:widowControl/>
        <w:spacing w:afterLines="0" w:line="240" w:lineRule="auto"/>
        <w:ind w:firstLine="560" w:firstLineChars="200"/>
        <w:jc w:val="left"/>
        <w:rPr>
          <w:rFonts w:hint="eastAsia" w:ascii="仿宋_GB2312" w:hAnsi="仿宋_GB2312" w:eastAsia="仿宋_GB2312" w:cs="仿宋_GB2312"/>
          <w:bCs/>
          <w:color w:val="000000"/>
          <w:sz w:val="28"/>
          <w:szCs w:val="28"/>
        </w:rPr>
      </w:pPr>
      <w:r>
        <w:rPr>
          <w:rFonts w:hint="eastAsia" w:ascii="仿宋_GB2312" w:hAnsi="仿宋_GB2312" w:eastAsia="仿宋_GB2312" w:cs="仿宋_GB2312"/>
          <w:bCs/>
          <w:color w:val="000000"/>
          <w:sz w:val="28"/>
          <w:szCs w:val="28"/>
        </w:rPr>
        <w:t>本次文件递交方式采用线上递交，</w:t>
      </w:r>
      <w:r>
        <w:rPr>
          <w:rFonts w:hint="eastAsia" w:ascii="仿宋_GB2312" w:hAnsi="仿宋_GB2312" w:eastAsia="仿宋_GB2312" w:cs="仿宋_GB2312"/>
          <w:sz w:val="28"/>
          <w:szCs w:val="28"/>
        </w:rPr>
        <w:t>PDF盖章版</w:t>
      </w:r>
      <w:r>
        <w:rPr>
          <w:rFonts w:hint="eastAsia" w:ascii="仿宋_GB2312" w:hAnsi="仿宋_GB2312" w:eastAsia="仿宋_GB2312" w:cs="仿宋_GB2312"/>
          <w:bCs/>
          <w:color w:val="000000"/>
          <w:sz w:val="28"/>
          <w:szCs w:val="28"/>
        </w:rPr>
        <w:t>响应文件必须在递交截止时间前发送至采购联系人邮箱。响应文件递交截止时间前未完成报价文件发送的，视为不参选。</w:t>
      </w:r>
    </w:p>
    <w:p w14:paraId="5F65E5A4">
      <w:pPr>
        <w:pStyle w:val="9"/>
        <w:spacing w:line="640" w:lineRule="exac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六、评分规则</w:t>
      </w:r>
    </w:p>
    <w:p w14:paraId="6327A010">
      <w:pPr>
        <w:spacing w:afterLines="0" w:line="560" w:lineRule="exact"/>
        <w:ind w:firstLine="560" w:firstLineChars="200"/>
        <w:jc w:val="left"/>
        <w:rPr>
          <w:rFonts w:ascii="Times New Roman" w:hAnsi="Times New Roman" w:eastAsia="仿宋_GB2312"/>
          <w:color w:val="000000"/>
          <w:sz w:val="28"/>
          <w:szCs w:val="28"/>
        </w:rPr>
      </w:pPr>
      <w:r>
        <w:rPr>
          <w:rFonts w:ascii="Times New Roman" w:hAnsi="Times New Roman" w:eastAsia="仿宋_GB2312"/>
          <w:sz w:val="28"/>
          <w:szCs w:val="22"/>
        </w:rPr>
        <w:t>本次评审</w:t>
      </w:r>
      <w:r>
        <w:rPr>
          <w:rFonts w:hint="eastAsia" w:ascii="Times New Roman" w:hAnsi="Times New Roman" w:eastAsia="仿宋_GB2312"/>
          <w:sz w:val="28"/>
          <w:szCs w:val="22"/>
        </w:rPr>
        <w:t>设一轮报价，</w:t>
      </w:r>
      <w:r>
        <w:rPr>
          <w:rFonts w:ascii="Times New Roman" w:hAnsi="Times New Roman" w:eastAsia="仿宋_GB2312"/>
          <w:sz w:val="28"/>
          <w:szCs w:val="22"/>
        </w:rPr>
        <w:t>采用最低投标价法</w:t>
      </w:r>
      <w:r>
        <w:rPr>
          <w:rFonts w:hint="eastAsia" w:ascii="Times New Roman" w:hAnsi="Times New Roman" w:eastAsia="仿宋_GB2312"/>
          <w:sz w:val="28"/>
          <w:szCs w:val="22"/>
        </w:rPr>
        <w:t>。</w:t>
      </w:r>
      <w:r>
        <w:rPr>
          <w:rFonts w:hint="eastAsia" w:ascii="Times New Roman" w:hAnsi="Times New Roman" w:eastAsia="仿宋_GB2312"/>
          <w:color w:val="000000"/>
          <w:sz w:val="28"/>
          <w:szCs w:val="28"/>
        </w:rPr>
        <w:t>采购人对所有参选供应商进行资格审查，资格审查合格的供应商报价成立，根据最低价法确定中选人。参选供应商报价税率不同，按不含税价格对比。</w:t>
      </w:r>
    </w:p>
    <w:p w14:paraId="02347DB4">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本采购项目以不含税价进行对比，供应商需填报含税价、税率；不含税价计算方式：不含税价=含税价/（1+税率）。</w:t>
      </w:r>
    </w:p>
    <w:p w14:paraId="32C7077B">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如出现并列最低报价，以报价文件递交时间在先者优先中选。若中选供应商放弃资格，则按报价由低到高顺序依次递补。</w:t>
      </w:r>
    </w:p>
    <w:p w14:paraId="4A6E7DBE">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七、限价要求</w:t>
      </w:r>
    </w:p>
    <w:p w14:paraId="0BDACBC0">
      <w:pPr>
        <w:spacing w:afterLines="0" w:line="560" w:lineRule="exact"/>
        <w:ind w:firstLine="560" w:firstLineChars="200"/>
        <w:jc w:val="left"/>
        <w:rPr>
          <w:rFonts w:ascii="Times New Roman" w:hAnsi="Times New Roman" w:eastAsia="仿宋_GB2312"/>
          <w:sz w:val="28"/>
          <w:szCs w:val="22"/>
        </w:rPr>
      </w:pPr>
      <w:r>
        <w:rPr>
          <w:rFonts w:hint="eastAsia" w:ascii="Times New Roman" w:hAnsi="Times New Roman" w:eastAsia="仿宋_GB2312"/>
          <w:sz w:val="28"/>
          <w:szCs w:val="22"/>
        </w:rPr>
        <w:t>本次限价10</w:t>
      </w:r>
      <w:r>
        <w:rPr>
          <w:rFonts w:ascii="Times New Roman" w:hAnsi="Times New Roman" w:eastAsia="仿宋_GB2312"/>
          <w:sz w:val="28"/>
          <w:szCs w:val="22"/>
        </w:rPr>
        <w:t>000</w:t>
      </w:r>
      <w:r>
        <w:rPr>
          <w:rFonts w:hint="eastAsia" w:ascii="Times New Roman" w:hAnsi="Times New Roman" w:eastAsia="仿宋_GB2312"/>
          <w:sz w:val="28"/>
          <w:szCs w:val="22"/>
        </w:rPr>
        <w:t>元，采用总价包干模式，超过限价的报价视为无效报价。</w:t>
      </w:r>
    </w:p>
    <w:p w14:paraId="1876D028">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八、澄清及修改</w:t>
      </w:r>
    </w:p>
    <w:p w14:paraId="211C4A2D">
      <w:pPr>
        <w:spacing w:afterLines="0" w:line="240" w:lineRule="auto"/>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1、采购人如需对已发出的询价文件进行澄清或修改的，将在</w:t>
      </w:r>
      <w:bookmarkStart w:id="2" w:name="_Hlk173242607"/>
      <w:r>
        <w:rPr>
          <w:rFonts w:hint="eastAsia" w:ascii="仿宋_GB2312" w:hAnsi="仿宋_GB2312" w:eastAsia="仿宋_GB2312" w:cs="仿宋_GB2312"/>
          <w:bCs/>
          <w:color w:val="000000"/>
          <w:sz w:val="28"/>
          <w:szCs w:val="28"/>
        </w:rPr>
        <w:t>深圳市深水水务咨询有限公司官网（http://www.szsszx.com/）</w:t>
      </w:r>
      <w:bookmarkEnd w:id="2"/>
      <w:r>
        <w:rPr>
          <w:rFonts w:hint="eastAsia" w:ascii="仿宋_GB2312" w:hAnsi="仿宋_GB2312" w:eastAsia="仿宋_GB2312" w:cs="仿宋_GB2312"/>
          <w:color w:val="000000"/>
          <w:sz w:val="28"/>
          <w:szCs w:val="28"/>
        </w:rPr>
        <w:t>发布更正公告，该澄清或修改内容为询价文件的组成部分。</w:t>
      </w:r>
    </w:p>
    <w:p w14:paraId="55566A4D">
      <w:pPr>
        <w:spacing w:afterLines="0" w:line="240" w:lineRule="auto"/>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2、询价申请人认为需要对询价文件进行澄清的，可以邮件形式向采购人提出申请（截止时间</w:t>
      </w:r>
      <w:r>
        <w:rPr>
          <w:rFonts w:hint="eastAsia" w:ascii="仿宋_GB2312" w:hAnsi="仿宋_GB2312" w:eastAsia="仿宋_GB2312" w:cs="仿宋_GB2312"/>
          <w:bCs/>
          <w:color w:val="000000"/>
          <w:sz w:val="28"/>
          <w:szCs w:val="28"/>
        </w:rPr>
        <w:t>2025年7月</w:t>
      </w:r>
      <w:r>
        <w:rPr>
          <w:rFonts w:hint="eastAsia" w:ascii="仿宋_GB2312" w:hAnsi="仿宋_GB2312" w:eastAsia="仿宋_GB2312" w:cs="仿宋_GB2312"/>
          <w:bCs/>
          <w:color w:val="000000"/>
          <w:sz w:val="28"/>
          <w:szCs w:val="28"/>
          <w:lang w:val="en-US" w:eastAsia="zh-CN"/>
        </w:rPr>
        <w:t>15</w:t>
      </w:r>
      <w:r>
        <w:rPr>
          <w:rFonts w:hint="eastAsia" w:ascii="仿宋_GB2312" w:hAnsi="仿宋_GB2312" w:eastAsia="仿宋_GB2312" w:cs="仿宋_GB2312"/>
          <w:bCs/>
          <w:color w:val="000000"/>
          <w:sz w:val="28"/>
          <w:szCs w:val="28"/>
        </w:rPr>
        <w:t>日18</w:t>
      </w:r>
      <w:r>
        <w:rPr>
          <w:rFonts w:hint="eastAsia" w:ascii="仿宋_GB2312" w:hAnsi="仿宋_GB2312" w:eastAsia="仿宋_GB2312" w:cs="仿宋_GB2312"/>
          <w:color w:val="000000"/>
          <w:sz w:val="28"/>
          <w:szCs w:val="28"/>
        </w:rPr>
        <w:t>时），但采购人可决定是否采纳申请事项。</w:t>
      </w:r>
    </w:p>
    <w:p w14:paraId="6F38F086">
      <w:pPr>
        <w:spacing w:afterLines="0" w:line="240" w:lineRule="auto"/>
        <w:ind w:firstLine="560" w:firstLineChars="200"/>
        <w:jc w:val="left"/>
        <w:rPr>
          <w:rFonts w:hint="eastAsia" w:ascii="仿宋_GB2312" w:hAnsi="仿宋_GB2312" w:eastAsia="仿宋_GB2312" w:cs="仿宋_GB2312"/>
          <w:color w:val="000000"/>
          <w:sz w:val="28"/>
          <w:szCs w:val="28"/>
        </w:rPr>
      </w:pPr>
      <w:r>
        <w:rPr>
          <w:rFonts w:hint="eastAsia" w:ascii="仿宋_GB2312" w:hAnsi="仿宋_GB2312" w:eastAsia="仿宋_GB2312" w:cs="仿宋_GB2312"/>
          <w:color w:val="000000"/>
          <w:sz w:val="28"/>
          <w:szCs w:val="28"/>
        </w:rPr>
        <w:t>3、询价申请人应于响应文件递交截止时间之前，自行在</w:t>
      </w:r>
      <w:r>
        <w:rPr>
          <w:rFonts w:hint="eastAsia" w:ascii="仿宋_GB2312" w:hAnsi="仿宋_GB2312" w:eastAsia="仿宋_GB2312" w:cs="仿宋_GB2312"/>
          <w:bCs/>
          <w:color w:val="000000"/>
          <w:sz w:val="28"/>
          <w:szCs w:val="28"/>
        </w:rPr>
        <w:t>深圳市深水水务咨询有限公司官（http://www.szsszx.com/）</w:t>
      </w:r>
      <w:r>
        <w:rPr>
          <w:rFonts w:hint="eastAsia" w:ascii="仿宋_GB2312" w:hAnsi="仿宋_GB2312" w:eastAsia="仿宋_GB2312" w:cs="仿宋_GB2312"/>
          <w:color w:val="000000"/>
          <w:sz w:val="28"/>
          <w:szCs w:val="28"/>
        </w:rPr>
        <w:t>查询本项目的更正公告，因未查阅公告造成的后果由申请人自行承担。</w:t>
      </w:r>
    </w:p>
    <w:p w14:paraId="76703BBD">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九、其他</w:t>
      </w:r>
    </w:p>
    <w:p w14:paraId="4AB0B3A0">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1、中选人应在结果公告期满后尽快与采购人签订采购合同。因中选人原因造成逾期未与采购人签订采购合同的，视为自动放弃；</w:t>
      </w:r>
    </w:p>
    <w:p w14:paraId="77E7E59A">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2、中选人因不可抗力原因不能履行采购合同或放弃成交的，采购人可依序与其他中选候选人签订采购合同，也可以重新组织采购。</w:t>
      </w:r>
    </w:p>
    <w:p w14:paraId="1660350A">
      <w:pPr>
        <w:widowControl/>
        <w:spacing w:after="78" w:line="640" w:lineRule="exact"/>
        <w:ind w:firstLine="560" w:firstLineChars="200"/>
        <w:rPr>
          <w:rFonts w:ascii="Times New Roman" w:hAnsi="Times New Roman" w:eastAsia="仿宋_GB2312"/>
          <w:bCs/>
          <w:color w:val="000000"/>
          <w:sz w:val="32"/>
          <w:szCs w:val="32"/>
        </w:rPr>
      </w:pPr>
      <w:r>
        <w:rPr>
          <w:rFonts w:hint="eastAsia" w:ascii="Times New Roman" w:hAnsi="Times New Roman" w:eastAsia="仿宋_GB2312"/>
          <w:color w:val="000000"/>
          <w:sz w:val="28"/>
          <w:szCs w:val="28"/>
        </w:rPr>
        <w:t>3、</w:t>
      </w:r>
      <w:r>
        <w:rPr>
          <w:rFonts w:hint="eastAsia" w:ascii="Times New Roman" w:hAnsi="Times New Roman" w:eastAsia="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r>
        <w:rPr>
          <w:rFonts w:hint="eastAsia" w:ascii="Times New Roman" w:hAnsi="Times New Roman" w:eastAsia="仿宋_GB2312"/>
          <w:bCs/>
          <w:color w:val="000000"/>
          <w:sz w:val="32"/>
          <w:szCs w:val="32"/>
        </w:rPr>
        <w:t>。</w:t>
      </w:r>
    </w:p>
    <w:p w14:paraId="03DF9049">
      <w:pPr>
        <w:spacing w:after="78" w:line="640" w:lineRule="exact"/>
        <w:ind w:firstLine="640" w:firstLineChars="200"/>
        <w:jc w:val="left"/>
        <w:rPr>
          <w:rFonts w:ascii="Times New Roman" w:hAnsi="Times New Roman" w:eastAsia="黑体" w:cs="黑体"/>
          <w:bCs/>
          <w:color w:val="000000"/>
          <w:kern w:val="0"/>
          <w:sz w:val="32"/>
          <w:szCs w:val="32"/>
        </w:rPr>
      </w:pPr>
      <w:r>
        <w:rPr>
          <w:rFonts w:hint="eastAsia" w:ascii="Times New Roman" w:hAnsi="Times New Roman" w:eastAsia="黑体" w:cs="黑体"/>
          <w:bCs/>
          <w:color w:val="000000"/>
          <w:kern w:val="0"/>
          <w:sz w:val="32"/>
          <w:szCs w:val="32"/>
        </w:rPr>
        <w:t>九、联系方式</w:t>
      </w:r>
    </w:p>
    <w:p w14:paraId="32AEF738">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联系人：</w:t>
      </w:r>
      <w:r>
        <w:rPr>
          <w:rFonts w:hint="eastAsia" w:ascii="Times New Roman" w:hAnsi="Times New Roman" w:eastAsia="仿宋_GB2312"/>
          <w:color w:val="000000"/>
          <w:kern w:val="0"/>
          <w:sz w:val="28"/>
          <w:szCs w:val="28"/>
        </w:rPr>
        <w:t>吴工</w:t>
      </w:r>
    </w:p>
    <w:p w14:paraId="7D4EE9BE">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电  话：</w:t>
      </w:r>
      <w:r>
        <w:rPr>
          <w:rFonts w:hint="eastAsia" w:ascii="Times New Roman" w:hAnsi="Times New Roman" w:eastAsia="仿宋_GB2312"/>
          <w:color w:val="000000"/>
          <w:kern w:val="0"/>
          <w:sz w:val="28"/>
          <w:szCs w:val="28"/>
        </w:rPr>
        <w:t>15889553918</w:t>
      </w:r>
    </w:p>
    <w:p w14:paraId="576A2C63">
      <w:pPr>
        <w:spacing w:after="78" w:line="640" w:lineRule="exact"/>
        <w:ind w:firstLine="640" w:firstLineChars="200"/>
        <w:jc w:val="left"/>
        <w:rPr>
          <w:rFonts w:ascii="Times New Roman" w:hAnsi="Times New Roman" w:eastAsia="仿宋_GB2312"/>
          <w:color w:val="000000"/>
          <w:kern w:val="0"/>
          <w:sz w:val="32"/>
          <w:szCs w:val="32"/>
        </w:rPr>
      </w:pPr>
      <w:r>
        <w:rPr>
          <w:rFonts w:hint="eastAsia" w:ascii="Times New Roman" w:hAnsi="Times New Roman" w:eastAsia="仿宋_GB2312"/>
          <w:color w:val="000000"/>
          <w:kern w:val="0"/>
          <w:sz w:val="32"/>
          <w:szCs w:val="32"/>
        </w:rPr>
        <w:t>邮  箱：</w:t>
      </w:r>
      <w:r>
        <w:rPr>
          <w:rFonts w:hint="eastAsia" w:ascii="Times New Roman" w:hAnsi="Times New Roman" w:eastAsia="仿宋_GB2312"/>
          <w:color w:val="000000"/>
          <w:kern w:val="0"/>
          <w:sz w:val="28"/>
          <w:szCs w:val="28"/>
        </w:rPr>
        <w:t>sszxhjcaigoua@163.com</w:t>
      </w:r>
    </w:p>
    <w:p w14:paraId="1F35B04D">
      <w:pPr>
        <w:pStyle w:val="9"/>
        <w:spacing w:line="640" w:lineRule="exact"/>
        <w:rPr>
          <w:rFonts w:ascii="Times New Roman" w:hAnsi="Times New Roman" w:eastAsia="仿宋_GB2312" w:cs="宋体"/>
          <w:color w:val="000000"/>
          <w:kern w:val="0"/>
          <w:sz w:val="32"/>
          <w:szCs w:val="32"/>
        </w:rPr>
      </w:pPr>
    </w:p>
    <w:p w14:paraId="69B947BF">
      <w:pPr>
        <w:pStyle w:val="9"/>
        <w:spacing w:line="640" w:lineRule="exact"/>
        <w:rPr>
          <w:rFonts w:ascii="Times New Roman" w:hAnsi="Times New Roman" w:eastAsia="仿宋_GB2312" w:cs="宋体"/>
          <w:color w:val="000000"/>
          <w:kern w:val="0"/>
          <w:sz w:val="32"/>
          <w:szCs w:val="32"/>
        </w:rPr>
      </w:pPr>
    </w:p>
    <w:p w14:paraId="0402590F">
      <w:pPr>
        <w:pStyle w:val="9"/>
        <w:spacing w:line="640" w:lineRule="exact"/>
        <w:ind w:left="2396" w:leftChars="836" w:hanging="640" w:hangingChars="200"/>
        <w:jc w:val="right"/>
        <w:rPr>
          <w:rFonts w:eastAsia="仿宋_GB2312"/>
        </w:rPr>
      </w:pPr>
      <w:bookmarkStart w:id="3" w:name="_Hlk173242670"/>
      <w:bookmarkStart w:id="4" w:name="_Hlk174629959"/>
      <w:r>
        <w:rPr>
          <w:rFonts w:hint="eastAsia" w:ascii="Times New Roman" w:hAnsi="Times New Roman" w:eastAsia="仿宋_GB2312"/>
          <w:bCs/>
          <w:color w:val="000000"/>
          <w:sz w:val="32"/>
          <w:szCs w:val="32"/>
        </w:rPr>
        <w:t>深圳市佳耀生态环保科技有限</w:t>
      </w:r>
      <w:r>
        <w:rPr>
          <w:rFonts w:hint="eastAsia" w:ascii="Times New Roman" w:hAnsi="Times New Roman" w:eastAsia="仿宋_GB2312"/>
          <w:color w:val="000000"/>
          <w:kern w:val="0"/>
          <w:sz w:val="32"/>
          <w:szCs w:val="32"/>
        </w:rPr>
        <w:t>公司</w:t>
      </w:r>
      <w:bookmarkEnd w:id="3"/>
      <w:r>
        <w:rPr>
          <w:rFonts w:hint="eastAsia" w:ascii="Times New Roman" w:hAnsi="Times New Roman" w:eastAsia="仿宋_GB2312"/>
          <w:color w:val="000000"/>
          <w:kern w:val="0"/>
          <w:sz w:val="32"/>
          <w:szCs w:val="32"/>
        </w:rPr>
        <w:t>东莞分公司</w:t>
      </w:r>
      <w:bookmarkEnd w:id="4"/>
    </w:p>
    <w:p w14:paraId="691F52CA">
      <w:pPr>
        <w:spacing w:after="78" w:line="640" w:lineRule="exact"/>
        <w:ind w:left="6079" w:leftChars="152" w:hanging="5760" w:hangingChars="1800"/>
        <w:jc w:val="right"/>
        <w:rPr>
          <w:rFonts w:hint="eastAsia" w:ascii="仿宋_GB2312" w:hAnsi="仿宋" w:eastAsia="仿宋_GB2312"/>
          <w:color w:val="000000"/>
          <w:sz w:val="32"/>
          <w:szCs w:val="32"/>
        </w:rPr>
      </w:pPr>
      <w:bookmarkStart w:id="5"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7</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lang w:val="en-US" w:eastAsia="zh-CN"/>
        </w:rPr>
        <w:t>10</w:t>
      </w:r>
      <w:r>
        <w:rPr>
          <w:rFonts w:ascii="Times New Roman" w:hAnsi="Times New Roman" w:eastAsia="仿宋_GB2312"/>
          <w:bCs/>
          <w:color w:val="000000"/>
          <w:sz w:val="32"/>
          <w:szCs w:val="32"/>
        </w:rPr>
        <w:t>日</w:t>
      </w:r>
      <w:bookmarkEnd w:id="5"/>
    </w:p>
    <w:p w14:paraId="71B7EE04">
      <w:pPr>
        <w:pStyle w:val="9"/>
        <w:spacing w:line="640" w:lineRule="exact"/>
        <w:ind w:left="2176" w:leftChars="836" w:hanging="420" w:hangingChars="200"/>
      </w:pPr>
    </w:p>
    <w:p w14:paraId="3832F91A">
      <w:pPr>
        <w:pStyle w:val="3"/>
        <w:numPr>
          <w:ilvl w:val="0"/>
          <w:numId w:val="2"/>
        </w:numPr>
        <w:spacing w:after="78"/>
        <w:ind w:left="0" w:firstLine="0"/>
        <w:jc w:val="center"/>
        <w:rPr>
          <w:rFonts w:hint="eastAsia" w:ascii="黑体" w:hAnsi="黑体" w:eastAsia="黑体"/>
          <w:sz w:val="32"/>
          <w:szCs w:val="32"/>
        </w:rPr>
        <w:sectPr>
          <w:footerReference r:id="rId10" w:type="default"/>
          <w:pgSz w:w="11906" w:h="16838"/>
          <w:pgMar w:top="1418" w:right="1587" w:bottom="1418" w:left="1587" w:header="851" w:footer="992" w:gutter="0"/>
          <w:pgNumType w:fmt="decimal" w:start="1"/>
          <w:cols w:space="720" w:num="1"/>
          <w:docGrid w:type="lines" w:linePitch="312" w:charSpace="0"/>
        </w:sectPr>
      </w:pPr>
    </w:p>
    <w:p w14:paraId="168B38C8">
      <w:pPr>
        <w:pStyle w:val="3"/>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6E60E53A">
      <w:pPr>
        <w:spacing w:after="78"/>
        <w:jc w:val="center"/>
        <w:rPr>
          <w:rFonts w:hint="eastAsia" w:ascii="仿宋_GB2312" w:hAnsi="仿宋_GB2312" w:eastAsia="仿宋_GB2312" w:cs="仿宋_GB2312"/>
          <w:sz w:val="28"/>
          <w:szCs w:val="28"/>
        </w:rPr>
      </w:pPr>
      <w:bookmarkStart w:id="6" w:name="_Toc201997925"/>
      <w:bookmarkStart w:id="7" w:name="_Toc201743097"/>
      <w:bookmarkStart w:id="8" w:name="_Hlk173317860"/>
      <w:r>
        <w:rPr>
          <w:rFonts w:hint="eastAsia" w:ascii="仿宋_GB2312" w:hAnsi="仿宋_GB2312" w:eastAsia="仿宋_GB2312" w:cs="仿宋_GB2312"/>
          <w:sz w:val="28"/>
          <w:szCs w:val="28"/>
        </w:rPr>
        <w:t>（该合同内容仅供参考，具体以实际签订为准）</w:t>
      </w:r>
    </w:p>
    <w:p w14:paraId="760E1E6E">
      <w:pPr>
        <w:spacing w:after="78"/>
        <w:jc w:val="left"/>
        <w:rPr>
          <w:rFonts w:ascii="Times New Roman Regular" w:hAnsi="Times New Roman Regular" w:eastAsia="黑体" w:cs="Times New Roman Regular"/>
          <w:color w:val="000000"/>
          <w:sz w:val="28"/>
          <w:szCs w:val="28"/>
          <w:u w:val="single"/>
        </w:rPr>
      </w:pPr>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bookmarkEnd w:id="6"/>
      <w:bookmarkEnd w:id="7"/>
      <w:bookmarkStart w:id="9" w:name="_Hlk111222939"/>
    </w:p>
    <w:p w14:paraId="16B250A2">
      <w:pPr>
        <w:spacing w:after="78" w:line="242" w:lineRule="auto"/>
        <w:jc w:val="center"/>
        <w:rPr>
          <w:rFonts w:ascii="Times New Roman Regular" w:hAnsi="Times New Roman Regular" w:eastAsia="黑体" w:cs="Times New Roman Regular"/>
          <w:spacing w:val="-4"/>
          <w:sz w:val="40"/>
          <w:szCs w:val="52"/>
          <w:lang w:eastAsia="zh-Hans"/>
        </w:rPr>
      </w:pPr>
      <w:r>
        <w:rPr>
          <w:rFonts w:ascii="Times New Roman Regular" w:hAnsi="Times New Roman Regular" w:eastAsia="黑体" w:cs="Times New Roman Regular"/>
          <w:spacing w:val="-4"/>
          <w:sz w:val="40"/>
          <w:szCs w:val="52"/>
          <w:lang w:eastAsia="zh-Hans"/>
        </w:rPr>
        <w:t>危险废物收集服务合同</w:t>
      </w:r>
    </w:p>
    <w:p w14:paraId="51CC1544">
      <w:pPr>
        <w:spacing w:after="78" w:line="242" w:lineRule="auto"/>
        <w:jc w:val="center"/>
        <w:rPr>
          <w:rFonts w:ascii="Times New Roman Regular" w:hAnsi="Times New Roman Regular" w:eastAsia="黑体" w:cs="Times New Roman Regular"/>
          <w:spacing w:val="-4"/>
          <w:sz w:val="36"/>
          <w:szCs w:val="48"/>
          <w:lang w:eastAsia="zh-Hans"/>
        </w:rPr>
      </w:pPr>
    </w:p>
    <w:p w14:paraId="1D58B74F">
      <w:pPr>
        <w:pStyle w:val="9"/>
        <w:ind w:left="68"/>
        <w:rPr>
          <w:rFonts w:hint="eastAsia" w:ascii="仿宋_GB2312" w:hAnsi="仿宋_GB2312" w:eastAsia="仿宋_GB2312" w:cs="仿宋_GB2312"/>
          <w:b/>
          <w:bCs/>
          <w:spacing w:val="4"/>
          <w:sz w:val="28"/>
          <w:szCs w:val="28"/>
        </w:rPr>
      </w:pPr>
      <w:r>
        <w:rPr>
          <w:rFonts w:hint="eastAsia" w:ascii="仿宋_GB2312" w:hAnsi="仿宋_GB2312" w:eastAsia="仿宋_GB2312" w:cs="仿宋_GB2312"/>
          <w:b/>
          <w:bCs/>
          <w:spacing w:val="4"/>
          <w:sz w:val="28"/>
          <w:szCs w:val="28"/>
        </w:rPr>
        <w:t>甲方：</w:t>
      </w:r>
    </w:p>
    <w:p w14:paraId="6F7D10DC">
      <w:pPr>
        <w:pStyle w:val="9"/>
        <w:ind w:left="68"/>
        <w:rPr>
          <w:rFonts w:hint="eastAsia" w:ascii="仿宋_GB2312" w:hAnsi="仿宋_GB2312" w:eastAsia="仿宋_GB2312" w:cs="仿宋_GB2312"/>
          <w:b/>
          <w:bCs/>
          <w:spacing w:val="4"/>
          <w:sz w:val="28"/>
          <w:szCs w:val="28"/>
        </w:rPr>
      </w:pPr>
      <w:r>
        <w:rPr>
          <w:rFonts w:hint="eastAsia" w:ascii="仿宋_GB2312" w:hAnsi="仿宋_GB2312" w:eastAsia="仿宋_GB2312" w:cs="仿宋_GB2312"/>
          <w:b/>
          <w:bCs/>
          <w:spacing w:val="4"/>
          <w:sz w:val="28"/>
          <w:szCs w:val="28"/>
        </w:rPr>
        <w:t>地址：</w:t>
      </w:r>
    </w:p>
    <w:p w14:paraId="2BFCCCD9">
      <w:pPr>
        <w:pStyle w:val="9"/>
        <w:ind w:left="68"/>
        <w:rPr>
          <w:rFonts w:hint="eastAsia" w:ascii="仿宋_GB2312" w:hAnsi="仿宋_GB2312" w:eastAsia="仿宋_GB2312" w:cs="仿宋_GB2312"/>
          <w:b/>
          <w:bCs/>
          <w:spacing w:val="4"/>
          <w:sz w:val="28"/>
          <w:szCs w:val="28"/>
        </w:rPr>
      </w:pPr>
      <w:r>
        <w:rPr>
          <w:rFonts w:hint="eastAsia" w:ascii="仿宋_GB2312" w:hAnsi="仿宋_GB2312" w:eastAsia="仿宋_GB2312" w:cs="仿宋_GB2312"/>
          <w:b/>
          <w:bCs/>
          <w:spacing w:val="4"/>
          <w:sz w:val="28"/>
          <w:szCs w:val="28"/>
        </w:rPr>
        <w:t>乙方：</w:t>
      </w:r>
    </w:p>
    <w:p w14:paraId="1C4B5D4D">
      <w:pPr>
        <w:pStyle w:val="9"/>
        <w:ind w:left="68"/>
        <w:rPr>
          <w:rFonts w:hint="eastAsia" w:ascii="仿宋_GB2312" w:hAnsi="仿宋_GB2312" w:eastAsia="仿宋_GB2312" w:cs="仿宋_GB2312"/>
          <w:b/>
          <w:bCs/>
          <w:spacing w:val="4"/>
          <w:sz w:val="28"/>
          <w:szCs w:val="28"/>
        </w:rPr>
      </w:pPr>
      <w:r>
        <w:rPr>
          <w:rFonts w:hint="eastAsia" w:ascii="仿宋_GB2312" w:hAnsi="仿宋_GB2312" w:eastAsia="仿宋_GB2312" w:cs="仿宋_GB2312"/>
          <w:b/>
          <w:bCs/>
          <w:spacing w:val="4"/>
          <w:sz w:val="28"/>
          <w:szCs w:val="28"/>
        </w:rPr>
        <w:t>地址：</w:t>
      </w:r>
    </w:p>
    <w:p w14:paraId="12471CDB">
      <w:pPr>
        <w:pStyle w:val="9"/>
        <w:ind w:left="68"/>
        <w:rPr>
          <w:rFonts w:hint="eastAsia" w:ascii="仿宋_GB2312" w:hAnsi="仿宋_GB2312" w:eastAsia="仿宋_GB2312" w:cs="仿宋_GB2312"/>
          <w:b/>
          <w:bCs/>
          <w:spacing w:val="4"/>
          <w:sz w:val="32"/>
          <w:szCs w:val="32"/>
        </w:rPr>
      </w:pPr>
    </w:p>
    <w:p w14:paraId="4D2AB4C8">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根据《中华人民共和国环境保护法》、《中华人民共和国固体废物污染环境防治法》、《广东省固体废物污染环境防治条例》及相关环境保护法律、法规的规定，甲方在生产过程中所产生的工业危险废物，不得随意排放、弃置或者转移，需交由有资质的公司处理处置。乙方为依法取得由生态环境行政主管部门颁发《危险废物经营许可证》的合法企业。经甲乙双方协商一致同意，双方就危险废物的收集、贮存等相关服务事宜，特签订本合同，以兹共同遵照执行。</w:t>
      </w:r>
    </w:p>
    <w:p w14:paraId="7A663179">
      <w:pPr>
        <w:pStyle w:val="9"/>
        <w:numPr>
          <w:ilvl w:val="0"/>
          <w:numId w:val="3"/>
        </w:numPr>
        <w:spacing w:before="71" w:line="363" w:lineRule="auto"/>
        <w:ind w:right="111"/>
        <w:jc w:val="both"/>
        <w:rPr>
          <w:rFonts w:hint="eastAsia" w:ascii="仿宋_GB2312" w:hAnsi="仿宋_GB2312" w:eastAsia="仿宋_GB2312" w:cs="仿宋_GB2312"/>
          <w:b/>
          <w:bCs/>
          <w:spacing w:val="7"/>
          <w:sz w:val="32"/>
          <w:szCs w:val="32"/>
        </w:rPr>
      </w:pPr>
      <w:r>
        <w:rPr>
          <w:rFonts w:hint="eastAsia" w:ascii="仿宋_GB2312" w:hAnsi="仿宋_GB2312" w:eastAsia="仿宋_GB2312" w:cs="仿宋_GB2312"/>
          <w:b/>
          <w:bCs/>
          <w:spacing w:val="7"/>
          <w:sz w:val="32"/>
          <w:szCs w:val="32"/>
        </w:rPr>
        <w:t xml:space="preserve">服务内容 </w:t>
      </w:r>
    </w:p>
    <w:p w14:paraId="3D84E079">
      <w:pPr>
        <w:pStyle w:val="9"/>
        <w:spacing w:before="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1、服务期限为一年，本协议双方签字盖章后生效，自【   】年【   】月【   】日至【   】年【   】月【   】日截止。</w:t>
      </w:r>
    </w:p>
    <w:p w14:paraId="2DA462FE">
      <w:pPr>
        <w:pStyle w:val="9"/>
        <w:spacing w:before="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2、甲方委托乙方收集的危险废物种类、数量情况如下表：</w:t>
      </w:r>
    </w:p>
    <w:tbl>
      <w:tblPr>
        <w:tblStyle w:val="69"/>
        <w:tblW w:w="5022"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17"/>
        <w:gridCol w:w="1282"/>
        <w:gridCol w:w="1340"/>
        <w:gridCol w:w="1247"/>
        <w:gridCol w:w="1280"/>
        <w:gridCol w:w="1435"/>
        <w:gridCol w:w="1579"/>
      </w:tblGrid>
      <w:tr w14:paraId="12C6B3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1" w:hRule="atLeast"/>
          <w:jc w:val="center"/>
        </w:trPr>
        <w:tc>
          <w:tcPr>
            <w:tcW w:w="352" w:type="pct"/>
            <w:vAlign w:val="center"/>
          </w:tcPr>
          <w:p w14:paraId="1676665E">
            <w:pPr>
              <w:spacing w:before="0" w:after="0" w:afterLines="0" w:line="240" w:lineRule="auto"/>
              <w:jc w:val="center"/>
              <w:rPr>
                <w:rFonts w:hint="eastAsia" w:ascii="仿宋_GB2312" w:hAnsi="仿宋_GB2312" w:eastAsia="仿宋_GB2312" w:cs="仿宋_GB2312"/>
                <w:spacing w:val="7"/>
                <w:sz w:val="28"/>
                <w:szCs w:val="28"/>
                <w:lang w:eastAsia="en-US"/>
              </w:rPr>
            </w:pPr>
            <w:r>
              <w:rPr>
                <w:rFonts w:hint="eastAsia" w:ascii="仿宋_GB2312" w:hAnsi="仿宋_GB2312" w:eastAsia="仿宋_GB2312" w:cs="仿宋_GB2312"/>
                <w:spacing w:val="7"/>
                <w:sz w:val="28"/>
                <w:szCs w:val="28"/>
                <w:lang w:eastAsia="en-US"/>
              </w:rPr>
              <w:t>序号</w:t>
            </w:r>
          </w:p>
        </w:tc>
        <w:tc>
          <w:tcPr>
            <w:tcW w:w="730" w:type="pct"/>
            <w:vAlign w:val="center"/>
          </w:tcPr>
          <w:p w14:paraId="5741F18C">
            <w:pPr>
              <w:spacing w:before="0" w:after="0" w:afterLines="0" w:line="240" w:lineRule="auto"/>
              <w:jc w:val="center"/>
              <w:rPr>
                <w:rFonts w:hint="eastAsia" w:ascii="仿宋_GB2312" w:hAnsi="仿宋_GB2312" w:eastAsia="仿宋_GB2312" w:cs="仿宋_GB2312"/>
                <w:spacing w:val="7"/>
                <w:sz w:val="28"/>
                <w:szCs w:val="28"/>
                <w:lang w:eastAsia="en-US"/>
              </w:rPr>
            </w:pPr>
            <w:r>
              <w:rPr>
                <w:rFonts w:hint="eastAsia" w:ascii="仿宋_GB2312" w:hAnsi="仿宋_GB2312" w:eastAsia="仿宋_GB2312" w:cs="仿宋_GB2312"/>
                <w:spacing w:val="7"/>
                <w:sz w:val="28"/>
                <w:szCs w:val="28"/>
                <w:lang w:eastAsia="en-US"/>
              </w:rPr>
              <w:t>废物名称</w:t>
            </w:r>
          </w:p>
        </w:tc>
        <w:tc>
          <w:tcPr>
            <w:tcW w:w="763" w:type="pct"/>
            <w:vAlign w:val="center"/>
          </w:tcPr>
          <w:p w14:paraId="17DC7A0E">
            <w:pPr>
              <w:spacing w:before="0" w:after="0" w:afterLines="0" w:line="240" w:lineRule="auto"/>
              <w:jc w:val="center"/>
              <w:rPr>
                <w:rFonts w:hint="eastAsia" w:ascii="仿宋_GB2312" w:hAnsi="仿宋_GB2312" w:eastAsia="仿宋_GB2312" w:cs="仿宋_GB2312"/>
                <w:spacing w:val="7"/>
                <w:sz w:val="28"/>
                <w:szCs w:val="28"/>
                <w:lang w:eastAsia="en-US"/>
              </w:rPr>
            </w:pPr>
            <w:r>
              <w:rPr>
                <w:rFonts w:hint="eastAsia" w:ascii="仿宋_GB2312" w:hAnsi="仿宋_GB2312" w:eastAsia="仿宋_GB2312" w:cs="仿宋_GB2312"/>
                <w:spacing w:val="7"/>
                <w:sz w:val="28"/>
                <w:szCs w:val="28"/>
                <w:lang w:eastAsia="en-US"/>
              </w:rPr>
              <w:t>废物类别</w:t>
            </w:r>
          </w:p>
        </w:tc>
        <w:tc>
          <w:tcPr>
            <w:tcW w:w="710" w:type="pct"/>
            <w:vAlign w:val="center"/>
          </w:tcPr>
          <w:p w14:paraId="004317AC">
            <w:pPr>
              <w:spacing w:before="0" w:after="0" w:afterLines="0" w:line="240" w:lineRule="auto"/>
              <w:jc w:val="center"/>
              <w:rPr>
                <w:rFonts w:hint="eastAsia" w:ascii="仿宋_GB2312" w:hAnsi="仿宋_GB2312" w:eastAsia="仿宋_GB2312" w:cs="仿宋_GB2312"/>
                <w:spacing w:val="7"/>
                <w:sz w:val="28"/>
                <w:szCs w:val="28"/>
                <w:lang w:eastAsia="en-US"/>
              </w:rPr>
            </w:pPr>
            <w:r>
              <w:rPr>
                <w:rFonts w:hint="eastAsia" w:ascii="仿宋_GB2312" w:hAnsi="仿宋_GB2312" w:eastAsia="仿宋_GB2312" w:cs="仿宋_GB2312"/>
                <w:spacing w:val="7"/>
                <w:sz w:val="28"/>
                <w:szCs w:val="28"/>
                <w:lang w:eastAsia="en-US"/>
              </w:rPr>
              <w:t>废物代码</w:t>
            </w:r>
          </w:p>
        </w:tc>
        <w:tc>
          <w:tcPr>
            <w:tcW w:w="726" w:type="pct"/>
            <w:vAlign w:val="center"/>
          </w:tcPr>
          <w:p w14:paraId="28EFD7E2">
            <w:pPr>
              <w:spacing w:before="0" w:after="0" w:afterLines="0" w:line="240" w:lineRule="auto"/>
              <w:jc w:val="center"/>
              <w:rPr>
                <w:rFonts w:hint="eastAsia" w:ascii="仿宋_GB2312" w:hAnsi="仿宋_GB2312" w:eastAsia="仿宋_GB2312" w:cs="仿宋_GB2312"/>
                <w:spacing w:val="7"/>
                <w:sz w:val="28"/>
                <w:szCs w:val="28"/>
                <w:lang w:eastAsia="en-US"/>
              </w:rPr>
            </w:pPr>
            <w:r>
              <w:rPr>
                <w:rFonts w:hint="eastAsia" w:ascii="仿宋_GB2312" w:hAnsi="仿宋_GB2312" w:eastAsia="仿宋_GB2312" w:cs="仿宋_GB2312"/>
                <w:spacing w:val="7"/>
                <w:sz w:val="28"/>
                <w:szCs w:val="28"/>
                <w:lang w:eastAsia="en-US"/>
              </w:rPr>
              <w:t>包装方式</w:t>
            </w:r>
          </w:p>
        </w:tc>
        <w:tc>
          <w:tcPr>
            <w:tcW w:w="817" w:type="pct"/>
            <w:vAlign w:val="center"/>
          </w:tcPr>
          <w:p w14:paraId="2C027A68">
            <w:pPr>
              <w:spacing w:before="0" w:after="0" w:afterLines="0" w:line="240" w:lineRule="auto"/>
              <w:jc w:val="center"/>
              <w:rPr>
                <w:rFonts w:hint="eastAsia" w:ascii="仿宋_GB2312" w:hAnsi="仿宋_GB2312" w:eastAsia="仿宋_GB2312" w:cs="仿宋_GB2312"/>
                <w:spacing w:val="7"/>
                <w:sz w:val="28"/>
                <w:szCs w:val="28"/>
                <w:lang w:eastAsia="en-US"/>
              </w:rPr>
            </w:pPr>
            <w:r>
              <w:rPr>
                <w:rFonts w:hint="eastAsia" w:ascii="仿宋_GB2312" w:hAnsi="仿宋_GB2312" w:eastAsia="仿宋_GB2312" w:cs="仿宋_GB2312"/>
                <w:spacing w:val="7"/>
                <w:sz w:val="28"/>
                <w:szCs w:val="28"/>
                <w:lang w:eastAsia="en-US"/>
              </w:rPr>
              <w:t>预计量</w:t>
            </w:r>
          </w:p>
          <w:p w14:paraId="1439CE00">
            <w:pPr>
              <w:spacing w:before="0" w:after="0" w:afterLines="0" w:line="240" w:lineRule="auto"/>
              <w:jc w:val="center"/>
              <w:rPr>
                <w:rFonts w:hint="eastAsia" w:ascii="仿宋_GB2312" w:hAnsi="仿宋_GB2312" w:eastAsia="仿宋_GB2312" w:cs="仿宋_GB2312"/>
                <w:spacing w:val="7"/>
                <w:sz w:val="28"/>
                <w:szCs w:val="28"/>
                <w:lang w:eastAsia="en-US"/>
              </w:rPr>
            </w:pPr>
            <w:r>
              <w:rPr>
                <w:rFonts w:hint="eastAsia" w:ascii="仿宋_GB2312" w:hAnsi="仿宋_GB2312" w:eastAsia="仿宋_GB2312" w:cs="仿宋_GB2312"/>
                <w:spacing w:val="7"/>
                <w:sz w:val="28"/>
                <w:szCs w:val="28"/>
                <w:lang w:eastAsia="en-US"/>
              </w:rPr>
              <w:t>(吨/年)</w:t>
            </w:r>
          </w:p>
        </w:tc>
        <w:tc>
          <w:tcPr>
            <w:tcW w:w="897" w:type="pct"/>
            <w:vAlign w:val="center"/>
          </w:tcPr>
          <w:p w14:paraId="4EB3BF3D">
            <w:pPr>
              <w:spacing w:before="0" w:after="0" w:afterLines="0" w:line="240" w:lineRule="auto"/>
              <w:jc w:val="center"/>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处理费用</w:t>
            </w:r>
          </w:p>
          <w:p w14:paraId="08A09026">
            <w:pPr>
              <w:spacing w:before="0" w:after="0" w:afterLines="0" w:line="240" w:lineRule="auto"/>
              <w:jc w:val="center"/>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（元/年）</w:t>
            </w:r>
          </w:p>
        </w:tc>
      </w:tr>
      <w:tr w14:paraId="23B03E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0" w:hRule="atLeast"/>
          <w:jc w:val="center"/>
        </w:trPr>
        <w:tc>
          <w:tcPr>
            <w:tcW w:w="352" w:type="pct"/>
            <w:vAlign w:val="center"/>
          </w:tcPr>
          <w:p w14:paraId="6BE05FEE">
            <w:pPr>
              <w:spacing w:before="0" w:after="0" w:afterLines="0" w:line="240" w:lineRule="auto"/>
              <w:jc w:val="center"/>
              <w:rPr>
                <w:rFonts w:hint="eastAsia" w:ascii="仿宋_GB2312" w:hAnsi="仿宋_GB2312" w:eastAsia="仿宋_GB2312" w:cs="仿宋_GB2312"/>
                <w:spacing w:val="7"/>
                <w:sz w:val="28"/>
                <w:szCs w:val="28"/>
                <w:lang w:eastAsia="en-US"/>
              </w:rPr>
            </w:pPr>
          </w:p>
        </w:tc>
        <w:tc>
          <w:tcPr>
            <w:tcW w:w="730" w:type="pct"/>
            <w:vAlign w:val="center"/>
          </w:tcPr>
          <w:p w14:paraId="19CD1D08">
            <w:pPr>
              <w:spacing w:before="0" w:after="0" w:afterLines="0" w:line="240" w:lineRule="auto"/>
              <w:jc w:val="center"/>
              <w:rPr>
                <w:rFonts w:hint="eastAsia" w:ascii="仿宋_GB2312" w:hAnsi="仿宋_GB2312" w:eastAsia="仿宋_GB2312" w:cs="仿宋_GB2312"/>
                <w:spacing w:val="7"/>
                <w:sz w:val="28"/>
                <w:szCs w:val="28"/>
                <w:lang w:eastAsia="en-US"/>
              </w:rPr>
            </w:pPr>
          </w:p>
        </w:tc>
        <w:tc>
          <w:tcPr>
            <w:tcW w:w="763" w:type="pct"/>
            <w:vAlign w:val="center"/>
          </w:tcPr>
          <w:p w14:paraId="6CDF8136">
            <w:pPr>
              <w:spacing w:before="0" w:after="0" w:afterLines="0" w:line="240" w:lineRule="auto"/>
              <w:jc w:val="center"/>
              <w:rPr>
                <w:rFonts w:hint="eastAsia" w:ascii="仿宋_GB2312" w:hAnsi="仿宋_GB2312" w:eastAsia="仿宋_GB2312" w:cs="仿宋_GB2312"/>
                <w:spacing w:val="7"/>
                <w:sz w:val="28"/>
                <w:szCs w:val="28"/>
                <w:lang w:eastAsia="en-US"/>
              </w:rPr>
            </w:pPr>
          </w:p>
        </w:tc>
        <w:tc>
          <w:tcPr>
            <w:tcW w:w="710" w:type="pct"/>
            <w:vAlign w:val="center"/>
          </w:tcPr>
          <w:p w14:paraId="556CF57E">
            <w:pPr>
              <w:spacing w:before="0" w:after="0" w:afterLines="0" w:line="240" w:lineRule="auto"/>
              <w:jc w:val="center"/>
              <w:rPr>
                <w:rFonts w:hint="eastAsia" w:ascii="仿宋_GB2312" w:hAnsi="仿宋_GB2312" w:eastAsia="仿宋_GB2312" w:cs="仿宋_GB2312"/>
                <w:spacing w:val="7"/>
                <w:sz w:val="28"/>
                <w:szCs w:val="28"/>
                <w:lang w:eastAsia="en-US"/>
              </w:rPr>
            </w:pPr>
          </w:p>
        </w:tc>
        <w:tc>
          <w:tcPr>
            <w:tcW w:w="726" w:type="pct"/>
            <w:vAlign w:val="center"/>
          </w:tcPr>
          <w:p w14:paraId="5012CCCC">
            <w:pPr>
              <w:spacing w:before="0" w:after="0" w:afterLines="0" w:line="240" w:lineRule="auto"/>
              <w:jc w:val="center"/>
              <w:rPr>
                <w:rFonts w:hint="eastAsia" w:ascii="仿宋_GB2312" w:hAnsi="仿宋_GB2312" w:eastAsia="仿宋_GB2312" w:cs="仿宋_GB2312"/>
                <w:spacing w:val="7"/>
                <w:sz w:val="28"/>
                <w:szCs w:val="28"/>
                <w:lang w:eastAsia="en-US"/>
              </w:rPr>
            </w:pPr>
          </w:p>
        </w:tc>
        <w:tc>
          <w:tcPr>
            <w:tcW w:w="817" w:type="pct"/>
            <w:vAlign w:val="center"/>
          </w:tcPr>
          <w:p w14:paraId="7C4788C5">
            <w:pPr>
              <w:spacing w:before="0" w:after="0" w:afterLines="0" w:line="240" w:lineRule="auto"/>
              <w:jc w:val="center"/>
              <w:rPr>
                <w:rFonts w:hint="eastAsia" w:ascii="仿宋_GB2312" w:hAnsi="仿宋_GB2312" w:eastAsia="仿宋_GB2312" w:cs="仿宋_GB2312"/>
                <w:spacing w:val="7"/>
                <w:sz w:val="28"/>
                <w:szCs w:val="28"/>
                <w:lang w:eastAsia="en-US"/>
              </w:rPr>
            </w:pPr>
          </w:p>
        </w:tc>
        <w:tc>
          <w:tcPr>
            <w:tcW w:w="897" w:type="pct"/>
            <w:vAlign w:val="center"/>
          </w:tcPr>
          <w:p w14:paraId="5F56E586">
            <w:pPr>
              <w:spacing w:before="0" w:after="0" w:afterLines="0" w:line="240" w:lineRule="auto"/>
              <w:jc w:val="center"/>
              <w:rPr>
                <w:rFonts w:hint="eastAsia" w:ascii="仿宋_GB2312" w:hAnsi="仿宋_GB2312" w:eastAsia="仿宋_GB2312" w:cs="仿宋_GB2312"/>
                <w:spacing w:val="7"/>
                <w:sz w:val="28"/>
                <w:szCs w:val="28"/>
              </w:rPr>
            </w:pPr>
          </w:p>
        </w:tc>
      </w:tr>
      <w:tr w14:paraId="0308D8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6" w:hRule="atLeast"/>
          <w:jc w:val="center"/>
        </w:trPr>
        <w:tc>
          <w:tcPr>
            <w:tcW w:w="3284" w:type="pct"/>
            <w:gridSpan w:val="5"/>
            <w:vAlign w:val="center"/>
          </w:tcPr>
          <w:p w14:paraId="3B5C0D73">
            <w:pPr>
              <w:spacing w:before="0" w:after="0" w:afterLines="0" w:line="240" w:lineRule="auto"/>
              <w:jc w:val="center"/>
              <w:rPr>
                <w:rFonts w:hint="eastAsia" w:ascii="仿宋_GB2312" w:hAnsi="仿宋_GB2312" w:eastAsia="仿宋_GB2312" w:cs="仿宋_GB2312"/>
                <w:spacing w:val="7"/>
                <w:sz w:val="28"/>
                <w:szCs w:val="28"/>
                <w:lang w:eastAsia="en-US"/>
              </w:rPr>
            </w:pPr>
            <w:r>
              <w:rPr>
                <w:rFonts w:hint="eastAsia" w:ascii="仿宋_GB2312" w:hAnsi="仿宋_GB2312" w:eastAsia="仿宋_GB2312" w:cs="仿宋_GB2312"/>
                <w:spacing w:val="7"/>
                <w:sz w:val="28"/>
                <w:szCs w:val="28"/>
                <w:lang w:eastAsia="en-US"/>
              </w:rPr>
              <w:t>合计</w:t>
            </w:r>
          </w:p>
        </w:tc>
        <w:tc>
          <w:tcPr>
            <w:tcW w:w="817" w:type="pct"/>
            <w:vAlign w:val="center"/>
          </w:tcPr>
          <w:p w14:paraId="557CBC08">
            <w:pPr>
              <w:spacing w:before="0" w:after="0" w:afterLines="0" w:line="240" w:lineRule="auto"/>
              <w:jc w:val="center"/>
              <w:rPr>
                <w:rFonts w:hint="eastAsia" w:ascii="仿宋_GB2312" w:hAnsi="仿宋_GB2312" w:eastAsia="仿宋_GB2312" w:cs="仿宋_GB2312"/>
                <w:spacing w:val="7"/>
                <w:sz w:val="28"/>
                <w:szCs w:val="28"/>
                <w:lang w:eastAsia="en-US"/>
              </w:rPr>
            </w:pPr>
          </w:p>
        </w:tc>
        <w:tc>
          <w:tcPr>
            <w:tcW w:w="897" w:type="pct"/>
            <w:vAlign w:val="center"/>
          </w:tcPr>
          <w:p w14:paraId="2D467525">
            <w:pPr>
              <w:spacing w:before="0" w:after="0" w:afterLines="0" w:line="240" w:lineRule="auto"/>
              <w:jc w:val="center"/>
              <w:rPr>
                <w:rFonts w:hint="eastAsia" w:ascii="仿宋_GB2312" w:hAnsi="仿宋_GB2312" w:eastAsia="仿宋_GB2312" w:cs="仿宋_GB2312"/>
                <w:spacing w:val="7"/>
                <w:sz w:val="28"/>
                <w:szCs w:val="28"/>
              </w:rPr>
            </w:pPr>
          </w:p>
        </w:tc>
      </w:tr>
      <w:tr w14:paraId="2949EC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2" w:hRule="atLeast"/>
          <w:jc w:val="center"/>
        </w:trPr>
        <w:tc>
          <w:tcPr>
            <w:tcW w:w="5000" w:type="pct"/>
            <w:gridSpan w:val="7"/>
            <w:vAlign w:val="center"/>
          </w:tcPr>
          <w:p w14:paraId="05550267">
            <w:pPr>
              <w:spacing w:before="0" w:after="0" w:afterLines="0" w:line="240" w:lineRule="auto"/>
              <w:jc w:val="center"/>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备注：以上价格已含税、人工费、运输费、上门费、车辆费、回收费、填埋费、处置费等一切费用。除甲乙双方另有约定外，甲方无需向乙方支付任何费用。</w:t>
            </w:r>
          </w:p>
        </w:tc>
      </w:tr>
    </w:tbl>
    <w:p w14:paraId="13F68B7A">
      <w:pPr>
        <w:pStyle w:val="9"/>
        <w:numPr>
          <w:ilvl w:val="0"/>
          <w:numId w:val="3"/>
        </w:numPr>
        <w:spacing w:before="71" w:line="363" w:lineRule="auto"/>
        <w:ind w:right="111"/>
        <w:jc w:val="both"/>
        <w:rPr>
          <w:rFonts w:hint="eastAsia" w:ascii="仿宋_GB2312" w:hAnsi="仿宋_GB2312" w:eastAsia="仿宋_GB2312" w:cs="仿宋_GB2312"/>
          <w:spacing w:val="7"/>
          <w:sz w:val="32"/>
          <w:szCs w:val="32"/>
        </w:rPr>
      </w:pPr>
      <w:r>
        <w:rPr>
          <w:rFonts w:ascii="仿宋_GB2312" w:hAnsi="仿宋_GB2312" w:eastAsia="仿宋_GB2312" w:cs="仿宋_GB2312"/>
          <w:b/>
          <w:bCs/>
          <w:spacing w:val="7"/>
          <w:sz w:val="32"/>
          <w:szCs w:val="32"/>
        </w:rPr>
        <w:t>甲方义务</w:t>
      </w:r>
      <w:r>
        <w:rPr>
          <w:rFonts w:hint="eastAsia" w:ascii="仿宋_GB2312" w:hAnsi="仿宋_GB2312" w:eastAsia="仿宋_GB2312" w:cs="仿宋_GB2312"/>
          <w:spacing w:val="7"/>
          <w:sz w:val="32"/>
          <w:szCs w:val="32"/>
        </w:rPr>
        <w:t xml:space="preserve"> </w:t>
      </w:r>
    </w:p>
    <w:p w14:paraId="74518BB1">
      <w:pPr>
        <w:pStyle w:val="9"/>
        <w:numPr>
          <w:ilvl w:val="0"/>
          <w:numId w:val="4"/>
        </w:numPr>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甲方应将合同中所约定的危险废物连同其包装物全部交予乙方处理，合同期内不得另行处理或交由第三方处理。</w:t>
      </w:r>
    </w:p>
    <w:p w14:paraId="7768E89D">
      <w:pPr>
        <w:pStyle w:val="9"/>
        <w:numPr>
          <w:ilvl w:val="0"/>
          <w:numId w:val="4"/>
        </w:numPr>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甲方应将各类废物分开存放、做好标记标识，不可混入其他杂物，以保障运输和处理的操作规范及安全。</w:t>
      </w:r>
    </w:p>
    <w:p w14:paraId="0EB0D96E">
      <w:pPr>
        <w:pStyle w:val="9"/>
        <w:numPr>
          <w:ilvl w:val="0"/>
          <w:numId w:val="4"/>
        </w:numPr>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甲方</w:t>
      </w:r>
      <w:r>
        <w:rPr>
          <w:rFonts w:ascii="仿宋_GB2312" w:hAnsi="仿宋_GB2312" w:eastAsia="仿宋_GB2312" w:cs="仿宋_GB2312"/>
          <w:spacing w:val="7"/>
          <w:sz w:val="28"/>
          <w:szCs w:val="28"/>
        </w:rPr>
        <w:t>应将待处理的废物集中摆放，并负责协助乙方装车，包括提供叉车、卡板。</w:t>
      </w:r>
    </w:p>
    <w:p w14:paraId="31921752">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4</w:t>
      </w:r>
      <w:r>
        <w:rPr>
          <w:rFonts w:ascii="仿宋_GB2312" w:hAnsi="仿宋_GB2312" w:eastAsia="仿宋_GB2312" w:cs="仿宋_GB2312"/>
          <w:spacing w:val="7"/>
          <w:sz w:val="28"/>
          <w:szCs w:val="28"/>
        </w:rPr>
        <w:t>、</w:t>
      </w:r>
      <w:r>
        <w:rPr>
          <w:rFonts w:hint="eastAsia" w:ascii="仿宋_GB2312" w:hAnsi="仿宋_GB2312" w:eastAsia="仿宋_GB2312" w:cs="仿宋_GB2312"/>
          <w:spacing w:val="7"/>
          <w:sz w:val="28"/>
          <w:szCs w:val="28"/>
        </w:rPr>
        <w:t>甲方保证提供</w:t>
      </w:r>
      <w:r>
        <w:rPr>
          <w:rFonts w:ascii="仿宋_GB2312" w:hAnsi="仿宋_GB2312" w:eastAsia="仿宋_GB2312" w:cs="仿宋_GB2312"/>
          <w:spacing w:val="7"/>
          <w:sz w:val="28"/>
          <w:szCs w:val="28"/>
        </w:rPr>
        <w:t>收运时交予乙方的废物不得出现以下异常情况：</w:t>
      </w:r>
    </w:p>
    <w:p w14:paraId="4C956DC5">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（1）</w:t>
      </w:r>
      <w:r>
        <w:rPr>
          <w:rFonts w:ascii="仿宋_GB2312" w:hAnsi="仿宋_GB2312" w:eastAsia="仿宋_GB2312" w:cs="仿宋_GB2312"/>
          <w:spacing w:val="7"/>
          <w:sz w:val="28"/>
          <w:szCs w:val="28"/>
        </w:rPr>
        <w:t>品种未列入本合同范围(尤其不得含有易爆物、放射性物质、剧毒性物质、闪点低于60℃废物等);</w:t>
      </w:r>
    </w:p>
    <w:p w14:paraId="1BA0F543">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（2）</w:t>
      </w:r>
      <w:r>
        <w:rPr>
          <w:rFonts w:ascii="仿宋_GB2312" w:hAnsi="仿宋_GB2312" w:eastAsia="仿宋_GB2312" w:cs="仿宋_GB2312"/>
          <w:spacing w:val="7"/>
          <w:sz w:val="28"/>
          <w:szCs w:val="28"/>
        </w:rPr>
        <w:t>标识不规范或错误、包装破损或密封不严；污泥含水率&gt;85%</w:t>
      </w:r>
      <w:r>
        <w:rPr>
          <w:rFonts w:hint="eastAsia" w:ascii="仿宋_GB2312" w:hAnsi="仿宋_GB2312" w:eastAsia="仿宋_GB2312" w:cs="仿宋_GB2312"/>
          <w:spacing w:val="7"/>
          <w:sz w:val="28"/>
          <w:szCs w:val="28"/>
        </w:rPr>
        <w:t>；</w:t>
      </w:r>
    </w:p>
    <w:p w14:paraId="08EDC4E3">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（3）</w:t>
      </w:r>
      <w:r>
        <w:rPr>
          <w:rFonts w:ascii="仿宋_GB2312" w:hAnsi="仿宋_GB2312" w:eastAsia="仿宋_GB2312" w:cs="仿宋_GB2312"/>
          <w:spacing w:val="7"/>
          <w:sz w:val="28"/>
          <w:szCs w:val="28"/>
        </w:rPr>
        <w:t>两类及以上废物人为混合装入同一容器内；</w:t>
      </w:r>
    </w:p>
    <w:p w14:paraId="24A6FF20">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（4）</w:t>
      </w:r>
      <w:r>
        <w:rPr>
          <w:rFonts w:ascii="仿宋_GB2312" w:hAnsi="仿宋_GB2312" w:eastAsia="仿宋_GB2312" w:cs="仿宋_GB2312"/>
          <w:spacing w:val="7"/>
          <w:sz w:val="28"/>
          <w:szCs w:val="28"/>
        </w:rPr>
        <w:t>其他违反危险废物包装、运输的国家标准、行业标准及通用技术要求的异常情况。</w:t>
      </w:r>
    </w:p>
    <w:p w14:paraId="35962D1E">
      <w:pPr>
        <w:pStyle w:val="9"/>
        <w:numPr>
          <w:ilvl w:val="0"/>
          <w:numId w:val="3"/>
        </w:numPr>
        <w:spacing w:before="71" w:line="363" w:lineRule="auto"/>
        <w:ind w:right="111"/>
        <w:jc w:val="both"/>
        <w:rPr>
          <w:rFonts w:hint="eastAsia" w:ascii="仿宋_GB2312" w:hAnsi="仿宋_GB2312" w:eastAsia="仿宋_GB2312" w:cs="仿宋_GB2312"/>
          <w:b/>
          <w:bCs/>
          <w:spacing w:val="7"/>
          <w:sz w:val="32"/>
          <w:szCs w:val="32"/>
        </w:rPr>
      </w:pPr>
      <w:r>
        <w:rPr>
          <w:rFonts w:ascii="仿宋_GB2312" w:hAnsi="仿宋_GB2312" w:eastAsia="仿宋_GB2312" w:cs="仿宋_GB2312"/>
          <w:b/>
          <w:bCs/>
          <w:spacing w:val="7"/>
          <w:sz w:val="32"/>
          <w:szCs w:val="32"/>
        </w:rPr>
        <w:t>乙方义务</w:t>
      </w:r>
    </w:p>
    <w:p w14:paraId="5D4D9E1B">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1、乙方应具备收集、贮存危险废物所需的资质、条件和设施，保证所持有的危险废物经营许可证、营业执照等相关证件的合法性和有效性。</w:t>
      </w:r>
    </w:p>
    <w:p w14:paraId="05B75338">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2、乙方在接到甲方收运通知后，应在约定的时间内确认收运计划并实施收运工作。</w:t>
      </w:r>
    </w:p>
    <w:p w14:paraId="650043EA">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3、乙方应确保危险废物的运输车辆与装卸人员能按照相关法律规定做好自我防护工作，在甲方厂区内文明作业，并遵守甲方明示的环境安全制度，不影响甲方正常的生产、经营活动。</w:t>
      </w:r>
    </w:p>
    <w:p w14:paraId="563A472A">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4、乙方应确保废物运输单位具备交通主管部门颁发的危险废物《道路运输经营许可证》,专用车辆的驾驶人员需取得相应机动车驾驶证和相应危险货物运输从业资格证；押运人须具备相关法律法规要求之证照。废物运输及处理过程中，应符合国家法律规定的环保和消防要求或标准，不对环境造成二次污染。</w:t>
      </w:r>
    </w:p>
    <w:p w14:paraId="14C90A53">
      <w:pPr>
        <w:pStyle w:val="9"/>
        <w:numPr>
          <w:ilvl w:val="0"/>
          <w:numId w:val="3"/>
        </w:numPr>
        <w:spacing w:before="71" w:line="363" w:lineRule="auto"/>
        <w:ind w:right="111"/>
        <w:jc w:val="both"/>
        <w:rPr>
          <w:rFonts w:hint="eastAsia" w:ascii="仿宋_GB2312" w:hAnsi="仿宋_GB2312" w:eastAsia="仿宋_GB2312" w:cs="仿宋_GB2312"/>
          <w:spacing w:val="7"/>
          <w:sz w:val="32"/>
          <w:szCs w:val="32"/>
        </w:rPr>
      </w:pPr>
      <w:r>
        <w:rPr>
          <w:rFonts w:ascii="仿宋_GB2312" w:hAnsi="仿宋_GB2312" w:eastAsia="仿宋_GB2312" w:cs="仿宋_GB2312"/>
          <w:b/>
          <w:bCs/>
          <w:spacing w:val="7"/>
          <w:sz w:val="32"/>
          <w:szCs w:val="32"/>
        </w:rPr>
        <w:t>废物的计量</w:t>
      </w:r>
      <w:r>
        <w:rPr>
          <w:rFonts w:hint="eastAsia" w:ascii="仿宋_GB2312" w:hAnsi="仿宋_GB2312" w:eastAsia="仿宋_GB2312" w:cs="仿宋_GB2312"/>
          <w:spacing w:val="7"/>
          <w:sz w:val="32"/>
          <w:szCs w:val="32"/>
        </w:rPr>
        <w:t xml:space="preserve"> </w:t>
      </w:r>
    </w:p>
    <w:p w14:paraId="7F9DD37C">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在甲方厂区内或者附近过磅称重，由甲方提供计重工具或者支付计重的相关费用。</w:t>
      </w:r>
    </w:p>
    <w:p w14:paraId="64C74B3C">
      <w:pPr>
        <w:pStyle w:val="9"/>
        <w:numPr>
          <w:ilvl w:val="0"/>
          <w:numId w:val="3"/>
        </w:numPr>
        <w:spacing w:before="71" w:line="363" w:lineRule="auto"/>
        <w:ind w:right="111"/>
        <w:jc w:val="both"/>
        <w:rPr>
          <w:rFonts w:hint="eastAsia" w:ascii="仿宋_GB2312" w:hAnsi="仿宋_GB2312" w:eastAsia="仿宋_GB2312" w:cs="仿宋_GB2312"/>
          <w:spacing w:val="7"/>
          <w:sz w:val="32"/>
          <w:szCs w:val="32"/>
        </w:rPr>
      </w:pPr>
      <w:r>
        <w:rPr>
          <w:rFonts w:hint="eastAsia" w:ascii="仿宋_GB2312" w:hAnsi="仿宋_GB2312" w:eastAsia="仿宋_GB2312" w:cs="仿宋_GB2312"/>
          <w:b/>
          <w:bCs/>
          <w:spacing w:val="7"/>
          <w:sz w:val="32"/>
          <w:szCs w:val="32"/>
        </w:rPr>
        <w:t>结算方式</w:t>
      </w:r>
    </w:p>
    <w:p w14:paraId="4C9E1B22">
      <w:pPr>
        <w:pStyle w:val="9"/>
        <w:spacing w:before="0" w:after="0" w:afterLines="0" w:line="240" w:lineRule="auto"/>
        <w:ind w:right="0"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1、付款方式</w:t>
      </w:r>
      <w:r>
        <w:rPr>
          <w:rFonts w:ascii="仿宋_GB2312" w:hAnsi="仿宋_GB2312" w:eastAsia="仿宋_GB2312" w:cs="仿宋_GB2312"/>
          <w:spacing w:val="7"/>
          <w:sz w:val="28"/>
          <w:szCs w:val="28"/>
        </w:rPr>
        <w:t>:按双方确认报价单内容结算，合同签订后，应</w:t>
      </w:r>
      <w:r>
        <w:rPr>
          <w:rFonts w:hint="eastAsia" w:ascii="仿宋_GB2312" w:hAnsi="仿宋_GB2312" w:eastAsia="仿宋_GB2312" w:cs="仿宋_GB2312"/>
          <w:spacing w:val="7"/>
          <w:sz w:val="28"/>
          <w:szCs w:val="28"/>
        </w:rPr>
        <w:t>乙方</w:t>
      </w:r>
      <w:r>
        <w:rPr>
          <w:rFonts w:ascii="仿宋_GB2312" w:hAnsi="仿宋_GB2312" w:eastAsia="仿宋_GB2312" w:cs="仿宋_GB2312"/>
          <w:spacing w:val="7"/>
          <w:sz w:val="28"/>
          <w:szCs w:val="28"/>
        </w:rPr>
        <w:t>开具</w:t>
      </w:r>
      <w:r>
        <w:rPr>
          <w:rFonts w:hint="eastAsia" w:ascii="仿宋_GB2312" w:hAnsi="仿宋_GB2312" w:eastAsia="仿宋_GB2312" w:cs="仿宋_GB2312"/>
          <w:spacing w:val="7"/>
          <w:sz w:val="28"/>
          <w:szCs w:val="28"/>
        </w:rPr>
        <w:t>付款申请表、发票等付款材料给甲方</w:t>
      </w:r>
      <w:r>
        <w:rPr>
          <w:rFonts w:ascii="仿宋_GB2312" w:hAnsi="仿宋_GB2312" w:eastAsia="仿宋_GB2312" w:cs="仿宋_GB2312"/>
          <w:spacing w:val="7"/>
          <w:sz w:val="28"/>
          <w:szCs w:val="28"/>
        </w:rPr>
        <w:t>，</w:t>
      </w:r>
      <w:r>
        <w:rPr>
          <w:rFonts w:hint="eastAsia" w:ascii="仿宋_GB2312" w:hAnsi="仿宋_GB2312" w:eastAsia="仿宋_GB2312" w:cs="仿宋_GB2312"/>
          <w:spacing w:val="7"/>
          <w:sz w:val="28"/>
          <w:szCs w:val="28"/>
        </w:rPr>
        <w:t>甲方</w:t>
      </w:r>
      <w:r>
        <w:rPr>
          <w:rFonts w:ascii="仿宋_GB2312" w:hAnsi="仿宋_GB2312" w:eastAsia="仿宋_GB2312" w:cs="仿宋_GB2312"/>
          <w:spacing w:val="7"/>
          <w:sz w:val="28"/>
          <w:szCs w:val="28"/>
        </w:rPr>
        <w:t>收到</w:t>
      </w:r>
      <w:r>
        <w:rPr>
          <w:rFonts w:hint="eastAsia" w:ascii="仿宋_GB2312" w:hAnsi="仿宋_GB2312" w:eastAsia="仿宋_GB2312" w:cs="仿宋_GB2312"/>
          <w:spacing w:val="7"/>
          <w:sz w:val="28"/>
          <w:szCs w:val="28"/>
        </w:rPr>
        <w:t>付款材料</w:t>
      </w:r>
      <w:r>
        <w:rPr>
          <w:rFonts w:ascii="仿宋_GB2312" w:hAnsi="仿宋_GB2312" w:eastAsia="仿宋_GB2312" w:cs="仿宋_GB2312"/>
          <w:spacing w:val="7"/>
          <w:sz w:val="28"/>
          <w:szCs w:val="28"/>
        </w:rPr>
        <w:t>以</w:t>
      </w:r>
      <w:r>
        <w:rPr>
          <w:rFonts w:hint="eastAsia" w:ascii="仿宋_GB2312" w:hAnsi="仿宋_GB2312" w:eastAsia="仿宋_GB2312" w:cs="仿宋_GB2312"/>
          <w:spacing w:val="7"/>
          <w:sz w:val="28"/>
          <w:szCs w:val="28"/>
        </w:rPr>
        <w:t>银行汇款转账或现金</w:t>
      </w:r>
      <w:r>
        <w:rPr>
          <w:rFonts w:ascii="仿宋_GB2312" w:hAnsi="仿宋_GB2312" w:eastAsia="仿宋_GB2312" w:cs="仿宋_GB2312"/>
          <w:spacing w:val="7"/>
          <w:sz w:val="28"/>
          <w:szCs w:val="28"/>
        </w:rPr>
        <w:t>形式支付</w:t>
      </w:r>
      <w:r>
        <w:rPr>
          <w:rFonts w:hint="eastAsia" w:ascii="仿宋_GB2312" w:hAnsi="仿宋_GB2312" w:eastAsia="仿宋_GB2312" w:cs="仿宋_GB2312"/>
          <w:spacing w:val="7"/>
          <w:sz w:val="28"/>
          <w:szCs w:val="28"/>
        </w:rPr>
        <w:t>该</w:t>
      </w:r>
      <w:r>
        <w:rPr>
          <w:rFonts w:ascii="仿宋_GB2312" w:hAnsi="仿宋_GB2312" w:eastAsia="仿宋_GB2312" w:cs="仿宋_GB2312"/>
          <w:spacing w:val="7"/>
          <w:sz w:val="28"/>
          <w:szCs w:val="28"/>
        </w:rPr>
        <w:t>款项。</w:t>
      </w:r>
    </w:p>
    <w:p w14:paraId="6883B520">
      <w:pPr>
        <w:pStyle w:val="9"/>
        <w:spacing w:before="0" w:after="0" w:afterLines="0" w:line="240" w:lineRule="auto"/>
        <w:ind w:right="0"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2、乙方收款账号：</w:t>
      </w:r>
    </w:p>
    <w:p w14:paraId="1FC87B4C">
      <w:pPr>
        <w:pStyle w:val="9"/>
        <w:spacing w:before="0" w:after="0" w:afterLines="0" w:line="240" w:lineRule="auto"/>
        <w:ind w:right="0"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收款单位：</w:t>
      </w:r>
    </w:p>
    <w:p w14:paraId="692ED0F3">
      <w:pPr>
        <w:pStyle w:val="9"/>
        <w:spacing w:before="0" w:after="0" w:afterLines="0" w:line="240" w:lineRule="auto"/>
        <w:ind w:right="0"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收款账号：</w:t>
      </w:r>
    </w:p>
    <w:p w14:paraId="4412D8E9">
      <w:pPr>
        <w:pStyle w:val="9"/>
        <w:spacing w:before="0" w:after="0" w:afterLines="0" w:line="240" w:lineRule="auto"/>
        <w:ind w:right="0"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收款开户银行名称：</w:t>
      </w:r>
    </w:p>
    <w:p w14:paraId="22184C4C">
      <w:pPr>
        <w:pStyle w:val="9"/>
        <w:spacing w:before="0" w:after="0" w:afterLines="0" w:line="240" w:lineRule="auto"/>
        <w:ind w:right="0"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统一社会信用代码：</w:t>
      </w:r>
    </w:p>
    <w:p w14:paraId="1933B76F">
      <w:pPr>
        <w:pStyle w:val="9"/>
        <w:spacing w:before="0" w:after="0" w:afterLines="0" w:line="240" w:lineRule="auto"/>
        <w:ind w:right="0"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开户行行号：</w:t>
      </w:r>
    </w:p>
    <w:p w14:paraId="7010DD29">
      <w:pPr>
        <w:pStyle w:val="9"/>
        <w:numPr>
          <w:ilvl w:val="0"/>
          <w:numId w:val="3"/>
        </w:numPr>
        <w:spacing w:before="71" w:line="363" w:lineRule="auto"/>
        <w:ind w:right="111"/>
        <w:jc w:val="both"/>
        <w:rPr>
          <w:rFonts w:hint="eastAsia" w:ascii="仿宋_GB2312" w:hAnsi="仿宋_GB2312" w:eastAsia="仿宋_GB2312" w:cs="仿宋_GB2312"/>
          <w:b/>
          <w:bCs/>
          <w:spacing w:val="7"/>
          <w:sz w:val="32"/>
          <w:szCs w:val="32"/>
        </w:rPr>
      </w:pPr>
      <w:r>
        <w:rPr>
          <w:rFonts w:ascii="仿宋_GB2312" w:hAnsi="仿宋_GB2312" w:eastAsia="仿宋_GB2312" w:cs="仿宋_GB2312"/>
          <w:b/>
          <w:bCs/>
          <w:spacing w:val="7"/>
          <w:sz w:val="32"/>
          <w:szCs w:val="32"/>
        </w:rPr>
        <w:t>协议的违约责任</w:t>
      </w:r>
    </w:p>
    <w:p w14:paraId="520164CE">
      <w:pPr>
        <w:pStyle w:val="9"/>
        <w:numPr>
          <w:ilvl w:val="0"/>
          <w:numId w:val="5"/>
        </w:numPr>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ascii="仿宋_GB2312" w:hAnsi="仿宋_GB2312" w:eastAsia="仿宋_GB2312" w:cs="仿宋_GB2312"/>
          <w:spacing w:val="7"/>
          <w:sz w:val="28"/>
          <w:szCs w:val="28"/>
        </w:rPr>
        <w:t>合同双方中一方违反本合同的规定，守约方有权要求违约方停止并纠正违约行为，造成守约方经济以及其他方面损失的，违约方应予以赔偿。</w:t>
      </w:r>
    </w:p>
    <w:p w14:paraId="1A8516DE">
      <w:pPr>
        <w:pStyle w:val="9"/>
        <w:numPr>
          <w:ilvl w:val="0"/>
          <w:numId w:val="5"/>
        </w:numPr>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ascii="仿宋_GB2312" w:hAnsi="仿宋_GB2312" w:eastAsia="仿宋_GB2312" w:cs="仿宋_GB2312"/>
          <w:spacing w:val="7"/>
          <w:sz w:val="28"/>
          <w:szCs w:val="28"/>
        </w:rPr>
        <w:t>合同双方中一方无正当理由撤销或者解除合同，造成合同另一方损失的，应赔偿由此造成的实际损失。</w:t>
      </w:r>
    </w:p>
    <w:p w14:paraId="7ECB08ED">
      <w:pPr>
        <w:pStyle w:val="9"/>
        <w:numPr>
          <w:ilvl w:val="0"/>
          <w:numId w:val="5"/>
        </w:numPr>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ascii="仿宋_GB2312" w:hAnsi="仿宋_GB2312" w:eastAsia="仿宋_GB2312" w:cs="仿宋_GB2312"/>
          <w:spacing w:val="7"/>
          <w:sz w:val="28"/>
          <w:szCs w:val="28"/>
        </w:rPr>
        <w:t>在协议的存续期间内，甲方将其生产经营过程中产生的</w:t>
      </w:r>
      <w:r>
        <w:rPr>
          <w:rFonts w:hint="eastAsia" w:ascii="仿宋_GB2312" w:hAnsi="仿宋_GB2312" w:eastAsia="仿宋_GB2312" w:cs="仿宋_GB2312"/>
          <w:spacing w:val="7"/>
          <w:sz w:val="28"/>
          <w:szCs w:val="28"/>
        </w:rPr>
        <w:t>危险废物</w:t>
      </w:r>
      <w:r>
        <w:rPr>
          <w:rFonts w:ascii="仿宋_GB2312" w:hAnsi="仿宋_GB2312" w:eastAsia="仿宋_GB2312" w:cs="仿宋_GB2312"/>
          <w:spacing w:val="7"/>
          <w:sz w:val="28"/>
          <w:szCs w:val="28"/>
        </w:rPr>
        <w:t>连同包装物自行处理、挪作他用或转交第三方处理，乙方不承担由此产生的经济损失以及相应的法律责任。</w:t>
      </w:r>
    </w:p>
    <w:p w14:paraId="4E227AD6">
      <w:pPr>
        <w:pStyle w:val="9"/>
        <w:numPr>
          <w:ilvl w:val="0"/>
          <w:numId w:val="3"/>
        </w:numPr>
        <w:spacing w:before="71" w:line="363" w:lineRule="auto"/>
        <w:ind w:right="111"/>
        <w:jc w:val="both"/>
        <w:rPr>
          <w:rFonts w:hint="eastAsia" w:ascii="仿宋_GB2312" w:hAnsi="仿宋_GB2312" w:eastAsia="仿宋_GB2312" w:cs="仿宋_GB2312"/>
          <w:b/>
          <w:bCs/>
          <w:spacing w:val="7"/>
          <w:sz w:val="32"/>
          <w:szCs w:val="32"/>
        </w:rPr>
      </w:pPr>
      <w:r>
        <w:rPr>
          <w:rFonts w:hint="eastAsia" w:ascii="仿宋_GB2312" w:hAnsi="仿宋_GB2312" w:eastAsia="仿宋_GB2312" w:cs="仿宋_GB2312"/>
          <w:b/>
          <w:bCs/>
          <w:spacing w:val="7"/>
          <w:sz w:val="32"/>
          <w:szCs w:val="32"/>
        </w:rPr>
        <w:t>免责事由</w:t>
      </w:r>
    </w:p>
    <w:p w14:paraId="1BCF3EA2">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ascii="仿宋_GB2312" w:hAnsi="仿宋_GB2312" w:eastAsia="仿宋_GB2312" w:cs="仿宋_GB2312"/>
          <w:spacing w:val="7"/>
          <w:sz w:val="28"/>
          <w:szCs w:val="28"/>
        </w:rPr>
        <w:t>在合同期内甲方或乙方发生不可抗力事件或政策法律变动而不能履行本合同时，应在不可抗力事件发生之日起3日内向对方书面通知不能履行或者延期履行、部分履行的理由。在取得相关证明并书面通知对方同意后，本合同可以不履行或者延期履行、部分履行，并免予承担不能履行部分的违约责任。</w:t>
      </w:r>
    </w:p>
    <w:p w14:paraId="78A28CFD">
      <w:pPr>
        <w:pStyle w:val="9"/>
        <w:numPr>
          <w:ilvl w:val="0"/>
          <w:numId w:val="3"/>
        </w:numPr>
        <w:spacing w:before="71" w:line="363" w:lineRule="auto"/>
        <w:ind w:right="111"/>
        <w:jc w:val="both"/>
        <w:rPr>
          <w:rFonts w:hint="eastAsia" w:ascii="仿宋_GB2312" w:hAnsi="仿宋_GB2312" w:eastAsia="仿宋_GB2312" w:cs="仿宋_GB2312"/>
          <w:b/>
          <w:bCs/>
          <w:spacing w:val="7"/>
          <w:sz w:val="32"/>
          <w:szCs w:val="32"/>
        </w:rPr>
      </w:pPr>
      <w:r>
        <w:rPr>
          <w:rFonts w:hint="eastAsia" w:ascii="仿宋_GB2312" w:hAnsi="仿宋_GB2312" w:eastAsia="仿宋_GB2312" w:cs="仿宋_GB2312"/>
          <w:b/>
          <w:bCs/>
          <w:spacing w:val="7"/>
          <w:sz w:val="32"/>
          <w:szCs w:val="32"/>
        </w:rPr>
        <w:t>合同争议的解决方式</w:t>
      </w:r>
    </w:p>
    <w:p w14:paraId="0F07B256">
      <w:pPr>
        <w:pStyle w:val="9"/>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ascii="仿宋_GB2312" w:hAnsi="仿宋_GB2312" w:eastAsia="仿宋_GB2312" w:cs="仿宋_GB2312"/>
          <w:spacing w:val="7"/>
          <w:sz w:val="28"/>
          <w:szCs w:val="28"/>
        </w:rPr>
        <w:t>因本合同发生的争议，由双方友好协商解决；协商成立的可签订补充合同，补充合同与本合同约定不一致的，以补充合同约定的内容为准。若双方未达成一致意见，可向乙方所在地有管辖权的人民法院提起诉讼</w:t>
      </w:r>
    </w:p>
    <w:p w14:paraId="35513A6D">
      <w:pPr>
        <w:pStyle w:val="9"/>
        <w:numPr>
          <w:ilvl w:val="0"/>
          <w:numId w:val="3"/>
        </w:numPr>
        <w:spacing w:before="0" w:beforeLines="0" w:after="0" w:afterLines="0" w:line="240" w:lineRule="auto"/>
        <w:ind w:right="111"/>
        <w:jc w:val="both"/>
        <w:rPr>
          <w:rFonts w:hint="eastAsia" w:ascii="仿宋_GB2312" w:hAnsi="仿宋_GB2312" w:eastAsia="仿宋_GB2312" w:cs="仿宋_GB2312"/>
          <w:b/>
          <w:bCs/>
          <w:spacing w:val="7"/>
          <w:sz w:val="32"/>
          <w:szCs w:val="32"/>
        </w:rPr>
      </w:pPr>
      <w:r>
        <w:rPr>
          <w:rFonts w:hint="eastAsia" w:ascii="仿宋_GB2312" w:hAnsi="仿宋_GB2312" w:eastAsia="仿宋_GB2312" w:cs="仿宋_GB2312"/>
          <w:b/>
          <w:bCs/>
          <w:spacing w:val="7"/>
          <w:sz w:val="32"/>
          <w:szCs w:val="32"/>
        </w:rPr>
        <w:t>协议其他事宜</w:t>
      </w:r>
    </w:p>
    <w:p w14:paraId="083B2F62">
      <w:pPr>
        <w:pStyle w:val="9"/>
        <w:numPr>
          <w:ilvl w:val="0"/>
          <w:numId w:val="6"/>
        </w:numPr>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ascii="仿宋_GB2312" w:hAnsi="仿宋_GB2312" w:eastAsia="仿宋_GB2312" w:cs="仿宋_GB2312"/>
          <w:spacing w:val="7"/>
          <w:sz w:val="28"/>
          <w:szCs w:val="28"/>
        </w:rPr>
        <w:t>本合同一式肆份，自双方盖章、授权代表签字之日起生效，甲方持贰份，乙方持贰份。</w:t>
      </w:r>
    </w:p>
    <w:p w14:paraId="61957686">
      <w:pPr>
        <w:pStyle w:val="9"/>
        <w:numPr>
          <w:ilvl w:val="0"/>
          <w:numId w:val="6"/>
        </w:numPr>
        <w:spacing w:before="0" w:beforeLines="0" w:after="0" w:afterLines="0" w:line="240" w:lineRule="auto"/>
        <w:ind w:firstLine="588" w:firstLineChars="200"/>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附件1《</w:t>
      </w:r>
      <w:r>
        <w:rPr>
          <w:rFonts w:ascii="仿宋_GB2312" w:hAnsi="仿宋_GB2312" w:eastAsia="仿宋_GB2312" w:cs="仿宋_GB2312"/>
          <w:spacing w:val="7"/>
          <w:sz w:val="28"/>
          <w:szCs w:val="28"/>
        </w:rPr>
        <w:t>供应商廉洁协议书</w:t>
      </w:r>
      <w:r>
        <w:rPr>
          <w:rFonts w:hint="eastAsia" w:ascii="仿宋_GB2312" w:hAnsi="仿宋_GB2312" w:eastAsia="仿宋_GB2312" w:cs="仿宋_GB2312"/>
          <w:spacing w:val="7"/>
          <w:sz w:val="28"/>
          <w:szCs w:val="28"/>
        </w:rPr>
        <w:t>》</w:t>
      </w:r>
      <w:r>
        <w:rPr>
          <w:rFonts w:ascii="仿宋_GB2312" w:hAnsi="仿宋_GB2312" w:eastAsia="仿宋_GB2312" w:cs="仿宋_GB2312"/>
          <w:spacing w:val="7"/>
          <w:sz w:val="28"/>
          <w:szCs w:val="28"/>
        </w:rPr>
        <w:t>与本合同具有同等法律效力</w:t>
      </w:r>
      <w:r>
        <w:rPr>
          <w:rFonts w:hint="eastAsia" w:ascii="仿宋_GB2312" w:hAnsi="仿宋_GB2312" w:eastAsia="仿宋_GB2312" w:cs="仿宋_GB2312"/>
          <w:spacing w:val="7"/>
          <w:sz w:val="28"/>
          <w:szCs w:val="28"/>
        </w:rPr>
        <w:t>。</w:t>
      </w:r>
    </w:p>
    <w:p w14:paraId="3DF0EE29">
      <w:pPr>
        <w:pStyle w:val="9"/>
        <w:spacing w:before="0" w:beforeLines="0" w:after="0" w:afterLines="0" w:line="240" w:lineRule="auto"/>
        <w:ind w:firstLine="588" w:firstLineChars="200"/>
        <w:jc w:val="both"/>
        <w:rPr>
          <w:rFonts w:hint="eastAsia" w:ascii="仿宋_GB2312" w:hAnsi="仿宋_GB2312" w:eastAsia="仿宋_GB2312" w:cs="仿宋_GB2312"/>
          <w:spacing w:val="7"/>
          <w:sz w:val="32"/>
          <w:szCs w:val="32"/>
        </w:rPr>
      </w:pPr>
      <w:r>
        <w:rPr>
          <w:rFonts w:hint="eastAsia" w:ascii="仿宋_GB2312" w:hAnsi="仿宋_GB2312" w:eastAsia="仿宋_GB2312" w:cs="仿宋_GB2312"/>
          <w:spacing w:val="7"/>
          <w:sz w:val="28"/>
          <w:szCs w:val="28"/>
        </w:rPr>
        <w:t>3、</w:t>
      </w:r>
      <w:r>
        <w:rPr>
          <w:rFonts w:ascii="仿宋_GB2312" w:hAnsi="仿宋_GB2312" w:eastAsia="仿宋_GB2312" w:cs="仿宋_GB2312"/>
          <w:spacing w:val="7"/>
          <w:sz w:val="28"/>
          <w:szCs w:val="28"/>
        </w:rPr>
        <w:t>本合同书未尽事宜，按《中华人民共和国民法典》和有关环保法律法规的规定执行；其他的修正事宜，经双方协商解决或另行签约，补充合同与本合同具有同等法律效力。</w:t>
      </w:r>
    </w:p>
    <w:p w14:paraId="5EED81EB">
      <w:pPr>
        <w:pStyle w:val="9"/>
        <w:spacing w:before="156" w:beforeLines="50" w:after="156" w:afterLines="50" w:line="360" w:lineRule="auto"/>
        <w:jc w:val="both"/>
        <w:rPr>
          <w:rFonts w:hint="eastAsia" w:ascii="仿宋_GB2312" w:hAnsi="仿宋_GB2312" w:eastAsia="仿宋_GB2312" w:cs="仿宋_GB2312"/>
          <w:spacing w:val="7"/>
          <w:sz w:val="32"/>
          <w:szCs w:val="32"/>
        </w:rPr>
      </w:pPr>
    </w:p>
    <w:tbl>
      <w:tblPr>
        <w:tblStyle w:val="22"/>
        <w:tblW w:w="971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751"/>
        <w:gridCol w:w="4967"/>
      </w:tblGrid>
      <w:tr w14:paraId="7F6E86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751" w:type="dxa"/>
          </w:tcPr>
          <w:p w14:paraId="589E0B35">
            <w:pPr>
              <w:pStyle w:val="9"/>
              <w:tabs>
                <w:tab w:val="left" w:pos="1220"/>
                <w:tab w:val="clear" w:pos="4760"/>
              </w:tabs>
              <w:spacing w:before="71" w:line="363" w:lineRule="auto"/>
              <w:ind w:right="111"/>
              <w:jc w:val="both"/>
              <w:rPr>
                <w:rFonts w:hint="eastAsia" w:ascii="仿宋_GB2312" w:hAnsi="仿宋_GB2312" w:eastAsia="仿宋_GB2312" w:cs="仿宋_GB2312"/>
                <w:spacing w:val="7"/>
                <w:sz w:val="32"/>
                <w:szCs w:val="32"/>
              </w:rPr>
            </w:pPr>
            <w:r>
              <w:rPr>
                <w:rFonts w:hint="eastAsia" w:ascii="仿宋_GB2312" w:hAnsi="仿宋_GB2312" w:eastAsia="仿宋_GB2312" w:cs="仿宋_GB2312"/>
                <w:spacing w:val="7"/>
                <w:sz w:val="28"/>
                <w:szCs w:val="28"/>
              </w:rPr>
              <w:t>甲方（盖章）：</w:t>
            </w:r>
          </w:p>
        </w:tc>
        <w:tc>
          <w:tcPr>
            <w:tcW w:w="4967" w:type="dxa"/>
          </w:tcPr>
          <w:p w14:paraId="4220CD3D">
            <w:pPr>
              <w:pStyle w:val="9"/>
              <w:tabs>
                <w:tab w:val="left" w:pos="1220"/>
                <w:tab w:val="clear" w:pos="4760"/>
              </w:tabs>
              <w:spacing w:before="71" w:line="363" w:lineRule="auto"/>
              <w:ind w:right="111"/>
              <w:jc w:val="both"/>
              <w:rPr>
                <w:rFonts w:hint="eastAsia" w:ascii="仿宋_GB2312" w:hAnsi="仿宋_GB2312" w:eastAsia="仿宋_GB2312" w:cs="仿宋_GB2312"/>
                <w:spacing w:val="7"/>
                <w:sz w:val="32"/>
                <w:szCs w:val="32"/>
              </w:rPr>
            </w:pPr>
            <w:r>
              <w:rPr>
                <w:rFonts w:hint="eastAsia" w:ascii="仿宋_GB2312" w:hAnsi="仿宋_GB2312" w:eastAsia="仿宋_GB2312" w:cs="仿宋_GB2312"/>
                <w:spacing w:val="7"/>
                <w:sz w:val="28"/>
                <w:szCs w:val="28"/>
              </w:rPr>
              <w:t>乙方（盖章）：</w:t>
            </w:r>
          </w:p>
        </w:tc>
      </w:tr>
      <w:tr w14:paraId="73CF29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751" w:type="dxa"/>
          </w:tcPr>
          <w:p w14:paraId="4E3C5120">
            <w:pPr>
              <w:pStyle w:val="9"/>
              <w:tabs>
                <w:tab w:val="left" w:pos="1220"/>
                <w:tab w:val="clear" w:pos="4760"/>
              </w:tabs>
              <w:spacing w:before="71" w:line="363" w:lineRule="auto"/>
              <w:ind w:right="111"/>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法人/授权代表签字：</w:t>
            </w:r>
          </w:p>
        </w:tc>
        <w:tc>
          <w:tcPr>
            <w:tcW w:w="4967" w:type="dxa"/>
          </w:tcPr>
          <w:p w14:paraId="7B0116A8">
            <w:pPr>
              <w:pStyle w:val="9"/>
              <w:tabs>
                <w:tab w:val="left" w:pos="1220"/>
                <w:tab w:val="clear" w:pos="4760"/>
              </w:tabs>
              <w:spacing w:before="71" w:line="363" w:lineRule="auto"/>
              <w:ind w:right="111"/>
              <w:jc w:val="both"/>
              <w:rPr>
                <w:rFonts w:hint="eastAsia" w:ascii="仿宋_GB2312" w:hAnsi="仿宋_GB2312" w:eastAsia="仿宋_GB2312" w:cs="仿宋_GB2312"/>
                <w:spacing w:val="7"/>
                <w:sz w:val="32"/>
                <w:szCs w:val="32"/>
              </w:rPr>
            </w:pPr>
            <w:r>
              <w:rPr>
                <w:rFonts w:hint="eastAsia" w:ascii="仿宋_GB2312" w:hAnsi="仿宋_GB2312" w:eastAsia="仿宋_GB2312" w:cs="仿宋_GB2312"/>
                <w:spacing w:val="7"/>
                <w:sz w:val="28"/>
                <w:szCs w:val="28"/>
              </w:rPr>
              <w:t>法人/授权代表签字：</w:t>
            </w:r>
          </w:p>
        </w:tc>
      </w:tr>
      <w:tr w14:paraId="7CC113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751" w:type="dxa"/>
          </w:tcPr>
          <w:p w14:paraId="6D7E1155">
            <w:pPr>
              <w:pStyle w:val="9"/>
              <w:tabs>
                <w:tab w:val="left" w:pos="1220"/>
                <w:tab w:val="clear" w:pos="4760"/>
              </w:tabs>
              <w:spacing w:before="71" w:line="363" w:lineRule="auto"/>
              <w:ind w:right="111"/>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联系电话：</w:t>
            </w:r>
          </w:p>
        </w:tc>
        <w:tc>
          <w:tcPr>
            <w:tcW w:w="4967" w:type="dxa"/>
          </w:tcPr>
          <w:p w14:paraId="186BDB19">
            <w:pPr>
              <w:pStyle w:val="9"/>
              <w:tabs>
                <w:tab w:val="left" w:pos="1220"/>
                <w:tab w:val="clear" w:pos="4760"/>
              </w:tabs>
              <w:spacing w:before="71" w:line="363" w:lineRule="auto"/>
              <w:ind w:right="111"/>
              <w:jc w:val="both"/>
              <w:rPr>
                <w:rFonts w:hint="eastAsia" w:ascii="仿宋_GB2312" w:hAnsi="仿宋_GB2312" w:eastAsia="仿宋_GB2312" w:cs="仿宋_GB2312"/>
                <w:spacing w:val="7"/>
                <w:sz w:val="32"/>
                <w:szCs w:val="32"/>
              </w:rPr>
            </w:pPr>
            <w:r>
              <w:rPr>
                <w:rFonts w:hint="eastAsia" w:ascii="仿宋_GB2312" w:hAnsi="仿宋_GB2312" w:eastAsia="仿宋_GB2312" w:cs="仿宋_GB2312"/>
                <w:spacing w:val="7"/>
                <w:sz w:val="28"/>
                <w:szCs w:val="28"/>
              </w:rPr>
              <w:t>联系电话：</w:t>
            </w:r>
          </w:p>
        </w:tc>
      </w:tr>
      <w:tr w14:paraId="1666AA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90" w:hRule="atLeast"/>
        </w:trPr>
        <w:tc>
          <w:tcPr>
            <w:tcW w:w="4751" w:type="dxa"/>
          </w:tcPr>
          <w:p w14:paraId="160BFE1A">
            <w:pPr>
              <w:pStyle w:val="9"/>
              <w:tabs>
                <w:tab w:val="left" w:pos="1220"/>
                <w:tab w:val="clear" w:pos="4760"/>
              </w:tabs>
              <w:spacing w:before="71" w:line="363" w:lineRule="auto"/>
              <w:ind w:right="111"/>
              <w:jc w:val="both"/>
              <w:rPr>
                <w:rFonts w:hint="eastAsia" w:ascii="仿宋_GB2312" w:hAnsi="仿宋_GB2312" w:eastAsia="仿宋_GB2312" w:cs="仿宋_GB2312"/>
                <w:spacing w:val="7"/>
                <w:sz w:val="28"/>
                <w:szCs w:val="28"/>
              </w:rPr>
            </w:pPr>
            <w:r>
              <w:rPr>
                <w:rFonts w:hint="eastAsia" w:ascii="仿宋_GB2312" w:hAnsi="仿宋_GB2312" w:eastAsia="仿宋_GB2312" w:cs="仿宋_GB2312"/>
                <w:spacing w:val="7"/>
                <w:sz w:val="28"/>
                <w:szCs w:val="28"/>
              </w:rPr>
              <w:t>日期：</w:t>
            </w:r>
          </w:p>
        </w:tc>
        <w:tc>
          <w:tcPr>
            <w:tcW w:w="4967" w:type="dxa"/>
          </w:tcPr>
          <w:p w14:paraId="651FF77F">
            <w:pPr>
              <w:pStyle w:val="9"/>
              <w:tabs>
                <w:tab w:val="left" w:pos="1220"/>
                <w:tab w:val="clear" w:pos="4760"/>
              </w:tabs>
              <w:spacing w:before="71" w:line="363" w:lineRule="auto"/>
              <w:ind w:right="111"/>
              <w:jc w:val="both"/>
              <w:rPr>
                <w:rFonts w:hint="eastAsia" w:ascii="仿宋_GB2312" w:hAnsi="仿宋_GB2312" w:eastAsia="仿宋_GB2312" w:cs="仿宋_GB2312"/>
                <w:spacing w:val="7"/>
                <w:sz w:val="32"/>
                <w:szCs w:val="32"/>
              </w:rPr>
            </w:pPr>
            <w:r>
              <w:rPr>
                <w:rFonts w:hint="eastAsia" w:ascii="仿宋_GB2312" w:hAnsi="仿宋_GB2312" w:eastAsia="仿宋_GB2312" w:cs="仿宋_GB2312"/>
                <w:spacing w:val="7"/>
                <w:sz w:val="28"/>
                <w:szCs w:val="28"/>
              </w:rPr>
              <w:t>日期：</w:t>
            </w:r>
          </w:p>
        </w:tc>
      </w:tr>
    </w:tbl>
    <w:p w14:paraId="7BBA7C4E">
      <w:pPr>
        <w:pStyle w:val="9"/>
        <w:tabs>
          <w:tab w:val="left" w:pos="1220"/>
          <w:tab w:val="clear" w:pos="4760"/>
        </w:tabs>
        <w:spacing w:before="71" w:line="363" w:lineRule="auto"/>
        <w:ind w:right="111"/>
        <w:jc w:val="both"/>
        <w:rPr>
          <w:rFonts w:hint="eastAsia" w:ascii="仿宋_GB2312" w:hAnsi="仿宋_GB2312" w:eastAsia="仿宋_GB2312" w:cs="仿宋_GB2312"/>
          <w:spacing w:val="7"/>
          <w:sz w:val="32"/>
          <w:szCs w:val="32"/>
        </w:rPr>
      </w:pPr>
    </w:p>
    <w:p w14:paraId="3C3FB8B8">
      <w:pPr>
        <w:pStyle w:val="67"/>
        <w:spacing w:line="360" w:lineRule="auto"/>
        <w:ind w:firstLine="480"/>
        <w:rPr>
          <w:rFonts w:ascii="Times New Roman Regular" w:hAnsi="Times New Roman Regular" w:cs="Times New Roman Regular"/>
          <w:lang w:eastAsia="zh-Hans"/>
        </w:rPr>
      </w:pPr>
    </w:p>
    <w:p w14:paraId="739E3266">
      <w:pPr>
        <w:pStyle w:val="67"/>
        <w:spacing w:line="360" w:lineRule="auto"/>
        <w:ind w:firstLine="480"/>
        <w:rPr>
          <w:rFonts w:ascii="Times New Roman Regular" w:hAnsi="Times New Roman Regular" w:cs="Times New Roman Regular"/>
          <w:lang w:eastAsia="zh-Hans"/>
        </w:rPr>
        <w:sectPr>
          <w:footerReference r:id="rId11" w:type="default"/>
          <w:pgSz w:w="11906" w:h="16838"/>
          <w:pgMar w:top="1418" w:right="1587" w:bottom="1418" w:left="1587" w:header="851" w:footer="992" w:gutter="0"/>
          <w:pgNumType w:fmt="decimal"/>
          <w:cols w:space="720" w:num="1"/>
          <w:docGrid w:type="lines" w:linePitch="312" w:charSpace="0"/>
        </w:sectPr>
      </w:pPr>
    </w:p>
    <w:p w14:paraId="17005ECE">
      <w:pPr>
        <w:pStyle w:val="68"/>
        <w:spacing w:after="78"/>
        <w:ind w:firstLine="0" w:firstLineChars="0"/>
        <w:rPr>
          <w:rFonts w:hint="eastAsia" w:ascii="宋体" w:hAnsi="宋体" w:cs="宋体"/>
          <w:kern w:val="2"/>
          <w:sz w:val="28"/>
          <w:lang w:eastAsia="zh-CN"/>
        </w:rPr>
      </w:pPr>
      <w:r>
        <w:rPr>
          <w:rFonts w:hint="eastAsia" w:ascii="宋体" w:hAnsi="宋体" w:cs="宋体"/>
          <w:kern w:val="2"/>
          <w:sz w:val="28"/>
          <w:lang w:eastAsia="zh-CN"/>
        </w:rPr>
        <w:t>附件1：供应商廉洁协议书</w:t>
      </w:r>
    </w:p>
    <w:p w14:paraId="0441C01C">
      <w:pPr>
        <w:widowControl/>
        <w:spacing w:after="240" w:afterLines="0" w:line="360" w:lineRule="auto"/>
        <w:jc w:val="center"/>
        <w:rPr>
          <w:rFonts w:hint="eastAsia" w:ascii="黑体" w:hAnsi="黑体" w:eastAsia="黑体" w:cs="黑体"/>
          <w:b/>
          <w:bCs/>
          <w:sz w:val="32"/>
          <w:szCs w:val="32"/>
        </w:rPr>
      </w:pPr>
      <w:r>
        <w:rPr>
          <w:rFonts w:hint="eastAsia" w:ascii="黑体" w:hAnsi="黑体" w:eastAsia="黑体" w:cs="黑体"/>
          <w:b/>
          <w:bCs/>
          <w:sz w:val="32"/>
          <w:szCs w:val="32"/>
        </w:rPr>
        <w:t>供应商廉</w:t>
      </w:r>
      <w:r>
        <w:rPr>
          <w:rFonts w:hint="eastAsia" w:ascii="黑体" w:hAnsi="黑体" w:eastAsia="黑体" w:cs="黑体"/>
          <w:b/>
          <w:bCs/>
          <w:sz w:val="32"/>
          <w:szCs w:val="32"/>
          <w:lang w:eastAsia="zh-Hans"/>
        </w:rPr>
        <w:t>洁</w:t>
      </w:r>
      <w:r>
        <w:rPr>
          <w:rFonts w:hint="eastAsia" w:ascii="黑体" w:hAnsi="黑体" w:eastAsia="黑体" w:cs="黑体"/>
          <w:b/>
          <w:bCs/>
          <w:sz w:val="32"/>
          <w:szCs w:val="32"/>
        </w:rPr>
        <w:t>协议书</w:t>
      </w:r>
    </w:p>
    <w:p w14:paraId="69739948">
      <w:pPr>
        <w:spacing w:after="78" w:line="360" w:lineRule="auto"/>
        <w:ind w:firstLine="480" w:firstLineChars="200"/>
        <w:rPr>
          <w:rFonts w:hint="eastAsia" w:ascii="宋体" w:hAnsi="宋体" w:cs="宋体"/>
          <w:kern w:val="0"/>
          <w:sz w:val="24"/>
          <w:lang w:eastAsia="zh-Hans"/>
        </w:rPr>
      </w:pPr>
      <w:r>
        <w:rPr>
          <w:rFonts w:hint="eastAsia" w:ascii="宋体" w:hAnsi="宋体" w:cs="宋体"/>
          <w:kern w:val="0"/>
          <w:sz w:val="24"/>
          <w:lang w:eastAsia="zh-Hans"/>
        </w:rPr>
        <w:t>为倡导防腐倡廉，诚实守信的经营作风，更好的维护甲乙双方的合作关系，强化对经营活动的法律约束，规范相关业务人员的廉洁行为。特作如下规定：</w:t>
      </w:r>
    </w:p>
    <w:p w14:paraId="12CC5852">
      <w:pPr>
        <w:widowControl/>
        <w:adjustRightInd w:val="0"/>
        <w:spacing w:before="240" w:after="78" w:line="360" w:lineRule="auto"/>
        <w:ind w:firstLine="640" w:firstLineChars="200"/>
        <w:outlineLvl w:val="0"/>
        <w:rPr>
          <w:rFonts w:ascii="Times New Roman Regular" w:hAnsi="Times New Roman Regular" w:eastAsia="黑体" w:cs="Times New Roman Regular"/>
          <w:kern w:val="0"/>
          <w:sz w:val="32"/>
          <w:szCs w:val="32"/>
          <w:lang w:eastAsia="zh-Hans"/>
        </w:rPr>
      </w:pPr>
      <w:r>
        <w:rPr>
          <w:rFonts w:hint="eastAsia" w:ascii="Times New Roman Regular" w:hAnsi="Times New Roman Regular" w:eastAsia="黑体" w:cs="Times New Roman Regular"/>
          <w:kern w:val="0"/>
          <w:sz w:val="32"/>
          <w:szCs w:val="32"/>
        </w:rPr>
        <w:t>一、</w:t>
      </w:r>
      <w:r>
        <w:rPr>
          <w:rFonts w:ascii="Times New Roman Regular" w:hAnsi="Times New Roman Regular" w:eastAsia="黑体" w:cs="Times New Roman Regular"/>
          <w:kern w:val="0"/>
          <w:sz w:val="32"/>
          <w:szCs w:val="32"/>
          <w:lang w:eastAsia="zh-Hans"/>
        </w:rPr>
        <w:t>严禁甲方人员有以下行为：</w:t>
      </w:r>
    </w:p>
    <w:p w14:paraId="4464EA40">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1.利用职务便利在经营活动中谋取个人私利，损害甲方利益；</w:t>
      </w:r>
    </w:p>
    <w:p w14:paraId="6E7B7662">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2.在经济活动中索取、收受财物。</w:t>
      </w:r>
    </w:p>
    <w:p w14:paraId="11798557">
      <w:pPr>
        <w:widowControl/>
        <w:adjustRightInd w:val="0"/>
        <w:spacing w:before="240" w:after="78" w:line="360" w:lineRule="auto"/>
        <w:ind w:firstLine="640" w:firstLineChars="200"/>
        <w:outlineLvl w:val="0"/>
        <w:rPr>
          <w:rFonts w:ascii="Times New Roman Regular" w:hAnsi="Times New Roman Regular" w:eastAsia="黑体" w:cs="Times New Roman Regular"/>
          <w:kern w:val="0"/>
          <w:sz w:val="32"/>
          <w:szCs w:val="32"/>
        </w:rPr>
      </w:pPr>
      <w:r>
        <w:rPr>
          <w:rFonts w:hint="eastAsia" w:ascii="Times New Roman Regular" w:hAnsi="Times New Roman Regular" w:eastAsia="黑体" w:cs="Times New Roman Regular"/>
          <w:kern w:val="0"/>
          <w:sz w:val="32"/>
          <w:szCs w:val="32"/>
        </w:rPr>
        <w:t>二、乙方不可以有以下行为：</w:t>
      </w:r>
    </w:p>
    <w:p w14:paraId="7DFD1845">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1.向甲方人员行贿或变相行贿；</w:t>
      </w:r>
    </w:p>
    <w:p w14:paraId="7198FBB6">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2.向甲方人员赠送现金、购物卡、贵重礼品等</w:t>
      </w:r>
      <w:r>
        <w:rPr>
          <w:rFonts w:hint="eastAsia" w:ascii="宋体" w:hAnsi="宋体" w:cs="宋体"/>
          <w:kern w:val="0"/>
          <w:sz w:val="24"/>
          <w:lang w:eastAsia="zh-Hans"/>
        </w:rPr>
        <w:t>。</w:t>
      </w:r>
    </w:p>
    <w:p w14:paraId="14FD5DA5">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以上规定的执行希望得到甲乙双方的支持和配合，若甲方人员有违反上述规定的行为，乙方须告知甲方，甲方将严肃处理，绝不姑息。</w:t>
      </w:r>
    </w:p>
    <w:p w14:paraId="56FE4567">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如乙方人员有违反上述规定的行为，视为乙方违约，甲方有权终止与乙方的合作，并有权采取以下措施：</w:t>
      </w:r>
    </w:p>
    <w:p w14:paraId="73B95EAD">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1.甲方有权单方面立即终止合作，对尚未付清的款项不负有任何违约责任。</w:t>
      </w:r>
    </w:p>
    <w:p w14:paraId="29720005">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2.</w:t>
      </w:r>
      <w:r>
        <w:rPr>
          <w:rFonts w:hint="eastAsia" w:ascii="宋体" w:hAnsi="宋体" w:cs="宋体"/>
          <w:kern w:val="0"/>
          <w:sz w:val="24"/>
          <w:lang w:eastAsia="zh-Hans"/>
        </w:rPr>
        <w:t>要求乙方按照</w:t>
      </w:r>
      <w:r>
        <w:rPr>
          <w:rFonts w:hint="eastAsia" w:ascii="宋体" w:hAnsi="宋体" w:cs="宋体"/>
          <w:kern w:val="0"/>
          <w:sz w:val="24"/>
        </w:rPr>
        <w:t>合同金额的【20】%</w:t>
      </w:r>
      <w:r>
        <w:rPr>
          <w:rFonts w:hint="eastAsia" w:ascii="宋体" w:hAnsi="宋体" w:cs="宋体"/>
          <w:kern w:val="0"/>
          <w:sz w:val="24"/>
          <w:lang w:eastAsia="zh-Hans"/>
        </w:rPr>
        <w:t>支付违约金</w:t>
      </w:r>
      <w:r>
        <w:rPr>
          <w:rFonts w:hint="eastAsia" w:ascii="宋体" w:hAnsi="宋体" w:cs="宋体"/>
          <w:kern w:val="0"/>
          <w:sz w:val="24"/>
        </w:rPr>
        <w:t>，由此造成的后果，包括甲方的损失将由乙方承担，必要时甲方将追究乙方的</w:t>
      </w:r>
      <w:r>
        <w:rPr>
          <w:rFonts w:hint="eastAsia" w:ascii="宋体" w:hAnsi="宋体" w:cs="宋体"/>
          <w:kern w:val="0"/>
          <w:sz w:val="24"/>
          <w:lang w:eastAsia="zh-Hans"/>
        </w:rPr>
        <w:t>其他</w:t>
      </w:r>
      <w:r>
        <w:rPr>
          <w:rFonts w:hint="eastAsia" w:ascii="宋体" w:hAnsi="宋体" w:cs="宋体"/>
          <w:kern w:val="0"/>
          <w:sz w:val="24"/>
        </w:rPr>
        <w:t>法律责任。</w:t>
      </w:r>
    </w:p>
    <w:p w14:paraId="15778C52">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3.甲方有权就乙方贿赂行为向工程所在地公安/司法机关检举报案操作。</w:t>
      </w:r>
    </w:p>
    <w:p w14:paraId="264EEABA">
      <w:pPr>
        <w:widowControl/>
        <w:spacing w:after="78" w:line="360" w:lineRule="auto"/>
        <w:ind w:firstLine="480" w:firstLineChars="200"/>
        <w:rPr>
          <w:rFonts w:hint="eastAsia" w:ascii="宋体" w:hAnsi="宋体" w:cs="宋体"/>
          <w:kern w:val="0"/>
          <w:sz w:val="24"/>
        </w:rPr>
      </w:pPr>
      <w:r>
        <w:rPr>
          <w:rFonts w:hint="eastAsia" w:ascii="宋体" w:hAnsi="宋体" w:cs="宋体"/>
          <w:kern w:val="0"/>
          <w:sz w:val="24"/>
        </w:rPr>
        <w:t>为了互惠互利的长期发展关系，敬请互相配合。</w:t>
      </w:r>
    </w:p>
    <w:p w14:paraId="3C8F993E">
      <w:pPr>
        <w:widowControl/>
        <w:spacing w:after="78" w:line="360" w:lineRule="auto"/>
        <w:ind w:firstLine="480" w:firstLineChars="200"/>
        <w:jc w:val="left"/>
        <w:rPr>
          <w:rFonts w:hint="eastAsia" w:ascii="宋体" w:hAnsi="宋体" w:cs="宋体"/>
          <w:kern w:val="0"/>
          <w:sz w:val="24"/>
          <w:u w:val="single"/>
        </w:rPr>
      </w:pPr>
      <w:r>
        <w:rPr>
          <w:rFonts w:hint="eastAsia" w:ascii="宋体" w:hAnsi="宋体" w:cs="宋体"/>
          <w:kern w:val="0"/>
          <w:sz w:val="24"/>
        </w:rPr>
        <w:t>甲方监督电话：</w:t>
      </w:r>
      <w:r>
        <w:rPr>
          <w:rFonts w:hint="eastAsia" w:ascii="宋体" w:hAnsi="宋体" w:cs="宋体"/>
          <w:kern w:val="0"/>
          <w:sz w:val="24"/>
          <w:u w:val="single"/>
        </w:rPr>
        <w:t xml:space="preserve">  0755-22385966  </w:t>
      </w:r>
    </w:p>
    <w:p w14:paraId="6BF6B7C9">
      <w:pPr>
        <w:pStyle w:val="20"/>
        <w:spacing w:after="78" w:line="360" w:lineRule="auto"/>
        <w:ind w:left="0" w:leftChars="0" w:firstLine="480"/>
        <w:rPr>
          <w:u w:val="single"/>
        </w:rPr>
      </w:pPr>
      <w:r>
        <w:rPr>
          <w:rFonts w:hint="eastAsia" w:ascii="宋体" w:hAnsi="宋体" w:cs="宋体"/>
          <w:kern w:val="0"/>
          <w:sz w:val="24"/>
        </w:rPr>
        <w:t>邮箱：</w:t>
      </w:r>
      <w:r>
        <w:rPr>
          <w:rFonts w:hint="eastAsia" w:ascii="宋体" w:hAnsi="宋体" w:cs="宋体"/>
          <w:kern w:val="0"/>
          <w:sz w:val="24"/>
          <w:u w:val="single"/>
        </w:rPr>
        <w:t xml:space="preserve">     /         </w:t>
      </w:r>
    </w:p>
    <w:p w14:paraId="72F5992C">
      <w:pPr>
        <w:spacing w:after="78" w:line="360" w:lineRule="auto"/>
        <w:ind w:firstLine="840" w:firstLineChars="400"/>
        <w:jc w:val="left"/>
        <w:rPr>
          <w:rFonts w:ascii="Times New Roman Regular" w:hAnsi="Times New Roman Regular" w:cs="Times New Roman Regular"/>
          <w:lang w:bidi="ar"/>
        </w:rPr>
      </w:pPr>
      <w:r>
        <w:rPr>
          <w:rFonts w:hint="eastAsia"/>
        </w:rPr>
        <w:t>甲方：                                            乙方：</w:t>
      </w:r>
    </w:p>
    <w:p w14:paraId="53021043">
      <w:pPr>
        <w:pStyle w:val="67"/>
        <w:spacing w:after="78"/>
        <w:ind w:firstLine="480"/>
        <w:rPr>
          <w:bCs/>
        </w:rPr>
      </w:pPr>
      <w:r>
        <w:rPr>
          <w:bCs/>
        </w:rPr>
        <w:t>法定代表人</w:t>
      </w:r>
      <w:r>
        <w:rPr>
          <w:bCs/>
          <w:lang w:eastAsia="zh-Hans"/>
        </w:rPr>
        <w:t>或授权代表</w:t>
      </w:r>
      <w:r>
        <w:rPr>
          <w:bCs/>
        </w:rPr>
        <w:t>:</w:t>
      </w:r>
      <w:r>
        <w:rPr>
          <w:rFonts w:hint="eastAsia"/>
          <w:bCs/>
        </w:rPr>
        <w:t xml:space="preserve">                    </w:t>
      </w:r>
      <w:r>
        <w:rPr>
          <w:bCs/>
        </w:rPr>
        <w:t>法定代表人</w:t>
      </w:r>
      <w:r>
        <w:rPr>
          <w:bCs/>
          <w:lang w:eastAsia="zh-Hans"/>
        </w:rPr>
        <w:t>或授权代表</w:t>
      </w:r>
      <w:r>
        <w:rPr>
          <w:bCs/>
        </w:rPr>
        <w:t>:</w:t>
      </w:r>
    </w:p>
    <w:p w14:paraId="1136CE1B">
      <w:pPr>
        <w:pStyle w:val="67"/>
        <w:spacing w:after="78"/>
        <w:ind w:firstLine="960" w:firstLineChars="400"/>
        <w:rPr>
          <w:bCs/>
        </w:rPr>
      </w:pPr>
      <w:r>
        <w:rPr>
          <w:rFonts w:hint="eastAsia"/>
          <w:bCs/>
        </w:rPr>
        <w:t>年  月  日                                年  月  日</w:t>
      </w:r>
    </w:p>
    <w:bookmarkEnd w:id="8"/>
    <w:bookmarkEnd w:id="9"/>
    <w:p w14:paraId="7E8DADA2">
      <w:pPr>
        <w:pStyle w:val="3"/>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报价文件格式</w:t>
      </w:r>
    </w:p>
    <w:p w14:paraId="70AF6F59">
      <w:pPr>
        <w:spacing w:after="78" w:line="640" w:lineRule="exact"/>
        <w:jc w:val="center"/>
        <w:rPr>
          <w:rFonts w:hint="eastAsia" w:ascii="宋体" w:hAnsi="宋体" w:cs="宋体"/>
          <w:b/>
          <w:bCs/>
          <w:sz w:val="36"/>
          <w:szCs w:val="36"/>
        </w:rPr>
      </w:pPr>
      <w:r>
        <w:rPr>
          <w:rFonts w:hint="eastAsia" w:ascii="宋体" w:hAnsi="宋体" w:cs="宋体"/>
          <w:b/>
          <w:bCs/>
          <w:sz w:val="36"/>
          <w:szCs w:val="36"/>
        </w:rPr>
        <w:t>深圳市佳耀生态环保科技有限公司东莞分公司</w:t>
      </w:r>
    </w:p>
    <w:p w14:paraId="154F9FF2">
      <w:pPr>
        <w:spacing w:after="78"/>
        <w:jc w:val="center"/>
        <w:rPr>
          <w:rFonts w:hint="eastAsia" w:ascii="宋体" w:hAnsi="宋体" w:cs="宋体"/>
          <w:b/>
          <w:bCs/>
          <w:sz w:val="36"/>
          <w:szCs w:val="36"/>
        </w:rPr>
      </w:pPr>
      <w:r>
        <w:rPr>
          <w:rFonts w:hint="eastAsia" w:ascii="宋体" w:hAnsi="宋体" w:cs="宋体"/>
          <w:b/>
          <w:bCs/>
          <w:sz w:val="36"/>
          <w:szCs w:val="36"/>
          <w:lang w:val="en-US" w:eastAsia="zh-CN"/>
        </w:rPr>
        <w:t>危险废物收集</w:t>
      </w:r>
      <w:r>
        <w:rPr>
          <w:rFonts w:hint="eastAsia" w:ascii="宋体" w:hAnsi="宋体" w:cs="宋体"/>
          <w:b/>
          <w:bCs/>
          <w:sz w:val="36"/>
          <w:szCs w:val="36"/>
        </w:rPr>
        <w:t>服务采购项目</w:t>
      </w:r>
    </w:p>
    <w:p w14:paraId="2AB7CF12">
      <w:pPr>
        <w:spacing w:after="78"/>
      </w:pPr>
    </w:p>
    <w:p w14:paraId="688FBC4E">
      <w:pPr>
        <w:spacing w:after="78"/>
        <w:rPr>
          <w:b/>
          <w:bCs/>
          <w:sz w:val="40"/>
          <w:szCs w:val="40"/>
        </w:rPr>
      </w:pPr>
    </w:p>
    <w:p w14:paraId="6D37E336">
      <w:pPr>
        <w:spacing w:after="78"/>
        <w:rPr>
          <w:sz w:val="40"/>
          <w:szCs w:val="40"/>
        </w:rPr>
      </w:pPr>
    </w:p>
    <w:p w14:paraId="14147785">
      <w:pPr>
        <w:spacing w:after="78"/>
        <w:jc w:val="center"/>
        <w:rPr>
          <w:b/>
          <w:bCs/>
          <w:sz w:val="48"/>
          <w:szCs w:val="48"/>
        </w:rPr>
      </w:pPr>
    </w:p>
    <w:p w14:paraId="7039E82E">
      <w:pPr>
        <w:spacing w:after="78"/>
        <w:jc w:val="center"/>
        <w:rPr>
          <w:b/>
          <w:bCs/>
          <w:sz w:val="48"/>
          <w:szCs w:val="48"/>
        </w:rPr>
      </w:pPr>
      <w:r>
        <w:rPr>
          <w:rFonts w:hint="eastAsia"/>
          <w:b/>
          <w:bCs/>
          <w:sz w:val="48"/>
          <w:szCs w:val="48"/>
        </w:rPr>
        <w:t>报价文件</w:t>
      </w:r>
    </w:p>
    <w:p w14:paraId="788D15C2">
      <w:pPr>
        <w:spacing w:after="78"/>
        <w:rPr>
          <w:sz w:val="40"/>
          <w:szCs w:val="40"/>
        </w:rPr>
      </w:pPr>
    </w:p>
    <w:p w14:paraId="5788A6CA">
      <w:pPr>
        <w:spacing w:after="78"/>
        <w:rPr>
          <w:sz w:val="40"/>
          <w:szCs w:val="40"/>
        </w:rPr>
      </w:pPr>
    </w:p>
    <w:p w14:paraId="30738234">
      <w:pPr>
        <w:spacing w:after="78"/>
        <w:rPr>
          <w:sz w:val="40"/>
          <w:szCs w:val="40"/>
        </w:rPr>
      </w:pPr>
    </w:p>
    <w:p w14:paraId="5A56D12B">
      <w:pPr>
        <w:spacing w:after="78"/>
      </w:pPr>
    </w:p>
    <w:p w14:paraId="4FA33503">
      <w:pPr>
        <w:spacing w:after="78"/>
        <w:rPr>
          <w:sz w:val="40"/>
          <w:szCs w:val="40"/>
        </w:rPr>
      </w:pPr>
    </w:p>
    <w:p w14:paraId="43359E7D">
      <w:pPr>
        <w:spacing w:after="78"/>
        <w:rPr>
          <w:sz w:val="40"/>
          <w:szCs w:val="40"/>
        </w:rPr>
      </w:pPr>
    </w:p>
    <w:p w14:paraId="7B0DF88C">
      <w:pPr>
        <w:spacing w:after="78"/>
        <w:ind w:left="1050" w:leftChars="500"/>
        <w:rPr>
          <w:sz w:val="32"/>
          <w:szCs w:val="32"/>
        </w:rPr>
      </w:pPr>
      <w:r>
        <w:rPr>
          <w:rFonts w:hint="eastAsia"/>
          <w:sz w:val="32"/>
          <w:szCs w:val="32"/>
        </w:rPr>
        <w:t>报价单位：</w:t>
      </w:r>
    </w:p>
    <w:p w14:paraId="62051C93">
      <w:pPr>
        <w:spacing w:after="78"/>
        <w:ind w:left="1050" w:leftChars="500"/>
        <w:rPr>
          <w:sz w:val="32"/>
          <w:szCs w:val="32"/>
        </w:rPr>
      </w:pPr>
      <w:r>
        <w:rPr>
          <w:rFonts w:hint="eastAsia"/>
          <w:sz w:val="32"/>
          <w:szCs w:val="32"/>
        </w:rPr>
        <w:t>联系人：</w:t>
      </w:r>
    </w:p>
    <w:p w14:paraId="79262E35">
      <w:pPr>
        <w:spacing w:after="78"/>
        <w:ind w:left="1050" w:leftChars="500"/>
        <w:rPr>
          <w:sz w:val="32"/>
          <w:szCs w:val="32"/>
        </w:rPr>
      </w:pPr>
      <w:r>
        <w:rPr>
          <w:rFonts w:hint="eastAsia"/>
          <w:sz w:val="32"/>
          <w:szCs w:val="32"/>
        </w:rPr>
        <w:t>联系电话：</w:t>
      </w:r>
    </w:p>
    <w:p w14:paraId="48C79C4B">
      <w:pPr>
        <w:spacing w:after="78"/>
        <w:ind w:left="1050" w:leftChars="500"/>
        <w:rPr>
          <w:sz w:val="32"/>
          <w:szCs w:val="32"/>
        </w:rPr>
      </w:pPr>
      <w:r>
        <w:rPr>
          <w:rFonts w:hint="eastAsia"/>
          <w:sz w:val="32"/>
          <w:szCs w:val="32"/>
        </w:rPr>
        <w:t>日期：</w:t>
      </w:r>
    </w:p>
    <w:p w14:paraId="6EEC5467">
      <w:pPr>
        <w:spacing w:after="78"/>
      </w:pPr>
    </w:p>
    <w:p w14:paraId="081116BC">
      <w:pPr>
        <w:pStyle w:val="60"/>
        <w:keepNext/>
        <w:keepLines/>
        <w:numPr>
          <w:ilvl w:val="0"/>
          <w:numId w:val="7"/>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1"/>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850"/>
        <w:gridCol w:w="1080"/>
      </w:tblGrid>
      <w:tr w14:paraId="6DCE066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12A1DFCC">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单位名称</w:t>
            </w:r>
          </w:p>
        </w:tc>
        <w:tc>
          <w:tcPr>
            <w:tcW w:w="6693" w:type="dxa"/>
            <w:gridSpan w:val="6"/>
            <w:vAlign w:val="center"/>
          </w:tcPr>
          <w:p w14:paraId="6713631C">
            <w:pPr>
              <w:widowControl/>
              <w:spacing w:after="78" w:line="360" w:lineRule="atLeast"/>
              <w:jc w:val="center"/>
              <w:rPr>
                <w:rFonts w:hint="eastAsia" w:ascii="仿宋" w:hAnsi="仿宋" w:eastAsia="仿宋" w:cs="仿宋"/>
                <w:sz w:val="24"/>
                <w:szCs w:val="20"/>
              </w:rPr>
            </w:pPr>
          </w:p>
        </w:tc>
      </w:tr>
      <w:tr w14:paraId="5B9B05C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13D7B5F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556BBE62">
            <w:pPr>
              <w:widowControl/>
              <w:spacing w:after="78" w:line="360" w:lineRule="atLeast"/>
              <w:jc w:val="center"/>
              <w:rPr>
                <w:rFonts w:hint="eastAsia" w:ascii="仿宋" w:hAnsi="仿宋" w:eastAsia="仿宋" w:cs="仿宋"/>
                <w:sz w:val="24"/>
                <w:szCs w:val="20"/>
              </w:rPr>
            </w:pPr>
          </w:p>
        </w:tc>
        <w:tc>
          <w:tcPr>
            <w:tcW w:w="1320" w:type="dxa"/>
            <w:vAlign w:val="center"/>
          </w:tcPr>
          <w:p w14:paraId="21739BA8">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gridSpan w:val="2"/>
            <w:vAlign w:val="center"/>
          </w:tcPr>
          <w:p w14:paraId="6B273EA4">
            <w:pPr>
              <w:widowControl/>
              <w:spacing w:after="78" w:line="360" w:lineRule="atLeast"/>
              <w:jc w:val="center"/>
              <w:rPr>
                <w:rFonts w:hint="eastAsia" w:ascii="仿宋" w:hAnsi="仿宋" w:eastAsia="仿宋" w:cs="仿宋"/>
                <w:sz w:val="24"/>
                <w:szCs w:val="20"/>
              </w:rPr>
            </w:pPr>
          </w:p>
        </w:tc>
      </w:tr>
      <w:tr w14:paraId="092EA38A">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653961D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656C0219">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7B99565D">
            <w:pPr>
              <w:widowControl/>
              <w:spacing w:after="78" w:line="360" w:lineRule="atLeast"/>
              <w:jc w:val="center"/>
              <w:rPr>
                <w:rFonts w:hint="eastAsia" w:ascii="仿宋" w:hAnsi="仿宋" w:eastAsia="仿宋" w:cs="仿宋"/>
                <w:sz w:val="24"/>
                <w:szCs w:val="20"/>
              </w:rPr>
            </w:pPr>
          </w:p>
        </w:tc>
        <w:tc>
          <w:tcPr>
            <w:tcW w:w="1320" w:type="dxa"/>
            <w:vAlign w:val="center"/>
          </w:tcPr>
          <w:p w14:paraId="4493337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gridSpan w:val="2"/>
            <w:vAlign w:val="center"/>
          </w:tcPr>
          <w:p w14:paraId="5E29EB24">
            <w:pPr>
              <w:widowControl/>
              <w:spacing w:after="78" w:line="360" w:lineRule="atLeast"/>
              <w:jc w:val="center"/>
              <w:rPr>
                <w:rFonts w:hint="eastAsia" w:ascii="仿宋" w:hAnsi="仿宋" w:eastAsia="仿宋" w:cs="仿宋"/>
                <w:sz w:val="24"/>
                <w:szCs w:val="20"/>
              </w:rPr>
            </w:pPr>
          </w:p>
        </w:tc>
      </w:tr>
      <w:tr w14:paraId="4FDAAFC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5D44A85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2DFB0F30">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3806" w:type="dxa"/>
            <w:gridSpan w:val="3"/>
            <w:vAlign w:val="center"/>
          </w:tcPr>
          <w:p w14:paraId="13826867">
            <w:pPr>
              <w:widowControl/>
              <w:spacing w:after="78" w:line="360" w:lineRule="atLeast"/>
              <w:jc w:val="center"/>
              <w:rPr>
                <w:rFonts w:hint="eastAsia" w:ascii="仿宋" w:hAnsi="仿宋" w:eastAsia="仿宋" w:cs="仿宋"/>
                <w:sz w:val="24"/>
                <w:szCs w:val="20"/>
              </w:rPr>
            </w:pPr>
          </w:p>
        </w:tc>
        <w:tc>
          <w:tcPr>
            <w:tcW w:w="850" w:type="dxa"/>
            <w:vAlign w:val="center"/>
          </w:tcPr>
          <w:p w14:paraId="0CEBE13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080" w:type="dxa"/>
            <w:vAlign w:val="center"/>
          </w:tcPr>
          <w:p w14:paraId="502C558C">
            <w:pPr>
              <w:widowControl/>
              <w:spacing w:after="78" w:line="360" w:lineRule="atLeast"/>
              <w:jc w:val="center"/>
              <w:rPr>
                <w:rFonts w:hint="eastAsia" w:ascii="仿宋" w:hAnsi="仿宋" w:eastAsia="仿宋" w:cs="仿宋"/>
                <w:sz w:val="24"/>
                <w:szCs w:val="20"/>
              </w:rPr>
            </w:pPr>
          </w:p>
        </w:tc>
      </w:tr>
      <w:tr w14:paraId="1D3B34B0">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13964FE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0884B00F">
            <w:pPr>
              <w:widowControl/>
              <w:spacing w:after="78" w:line="360" w:lineRule="atLeast"/>
              <w:jc w:val="center"/>
              <w:rPr>
                <w:rFonts w:hint="eastAsia" w:ascii="仿宋" w:hAnsi="仿宋" w:eastAsia="仿宋" w:cs="仿宋"/>
                <w:sz w:val="24"/>
                <w:szCs w:val="20"/>
              </w:rPr>
            </w:pPr>
          </w:p>
        </w:tc>
        <w:tc>
          <w:tcPr>
            <w:tcW w:w="4497" w:type="dxa"/>
            <w:gridSpan w:val="4"/>
            <w:tcBorders>
              <w:bottom w:val="single" w:color="auto" w:sz="4" w:space="0"/>
            </w:tcBorders>
            <w:vAlign w:val="center"/>
          </w:tcPr>
          <w:p w14:paraId="6562E013">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037627F9">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0360FA1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6"/>
            <w:vAlign w:val="center"/>
          </w:tcPr>
          <w:p w14:paraId="3A67EA86">
            <w:pPr>
              <w:spacing w:after="78" w:line="360" w:lineRule="atLeast"/>
              <w:jc w:val="center"/>
              <w:rPr>
                <w:rFonts w:hint="eastAsia" w:ascii="仿宋" w:hAnsi="仿宋" w:eastAsia="仿宋" w:cs="仿宋"/>
                <w:sz w:val="24"/>
                <w:szCs w:val="20"/>
              </w:rPr>
            </w:pPr>
          </w:p>
          <w:p w14:paraId="3F9CF52A">
            <w:pPr>
              <w:widowControl/>
              <w:spacing w:after="78" w:line="360" w:lineRule="atLeast"/>
              <w:jc w:val="center"/>
              <w:rPr>
                <w:rFonts w:hint="eastAsia" w:ascii="仿宋" w:hAnsi="仿宋" w:eastAsia="仿宋" w:cs="仿宋"/>
                <w:sz w:val="24"/>
                <w:szCs w:val="20"/>
              </w:rPr>
            </w:pPr>
          </w:p>
        </w:tc>
      </w:tr>
      <w:tr w14:paraId="4A72806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1522" w:type="dxa"/>
            <w:vAlign w:val="center"/>
          </w:tcPr>
          <w:p w14:paraId="66E83B8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6"/>
            <w:vAlign w:val="center"/>
          </w:tcPr>
          <w:p w14:paraId="764042C4">
            <w:pPr>
              <w:spacing w:after="78" w:line="360" w:lineRule="atLeast"/>
              <w:jc w:val="center"/>
              <w:rPr>
                <w:rFonts w:hint="eastAsia" w:ascii="仿宋" w:hAnsi="仿宋" w:eastAsia="仿宋" w:cs="仿宋"/>
                <w:sz w:val="24"/>
                <w:szCs w:val="20"/>
              </w:rPr>
            </w:pPr>
          </w:p>
          <w:p w14:paraId="1A4E5729">
            <w:pPr>
              <w:widowControl/>
              <w:spacing w:after="78" w:line="360" w:lineRule="atLeast"/>
              <w:jc w:val="center"/>
              <w:rPr>
                <w:rFonts w:hint="eastAsia" w:ascii="仿宋" w:hAnsi="仿宋" w:eastAsia="仿宋" w:cs="仿宋"/>
                <w:sz w:val="24"/>
                <w:szCs w:val="20"/>
              </w:rPr>
            </w:pPr>
          </w:p>
        </w:tc>
      </w:tr>
      <w:tr w14:paraId="7DB737B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9" w:hRule="atLeast"/>
          <w:jc w:val="center"/>
        </w:trPr>
        <w:tc>
          <w:tcPr>
            <w:tcW w:w="1522" w:type="dxa"/>
            <w:vAlign w:val="center"/>
          </w:tcPr>
          <w:p w14:paraId="25B4FEA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6"/>
            <w:tcBorders>
              <w:top w:val="single" w:color="auto" w:sz="4" w:space="0"/>
            </w:tcBorders>
            <w:vAlign w:val="center"/>
          </w:tcPr>
          <w:p w14:paraId="2B9B3E71">
            <w:pPr>
              <w:widowControl/>
              <w:spacing w:after="78" w:line="360" w:lineRule="atLeast"/>
              <w:jc w:val="center"/>
              <w:rPr>
                <w:rFonts w:hint="eastAsia" w:ascii="仿宋" w:hAnsi="仿宋" w:eastAsia="仿宋" w:cs="仿宋"/>
                <w:sz w:val="24"/>
                <w:szCs w:val="20"/>
              </w:rPr>
            </w:pPr>
          </w:p>
        </w:tc>
      </w:tr>
      <w:tr w14:paraId="3B35F758">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78E21A7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6"/>
            <w:vAlign w:val="center"/>
          </w:tcPr>
          <w:p w14:paraId="151E01C1">
            <w:pPr>
              <w:widowControl/>
              <w:spacing w:after="78" w:line="360" w:lineRule="atLeast"/>
              <w:jc w:val="center"/>
              <w:rPr>
                <w:rFonts w:hint="eastAsia" w:ascii="仿宋" w:hAnsi="仿宋" w:eastAsia="仿宋" w:cs="仿宋"/>
                <w:sz w:val="24"/>
                <w:szCs w:val="20"/>
              </w:rPr>
            </w:pPr>
          </w:p>
        </w:tc>
      </w:tr>
      <w:tr w14:paraId="0928345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205EC79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6"/>
            <w:vAlign w:val="center"/>
          </w:tcPr>
          <w:p w14:paraId="6F1B6615">
            <w:pPr>
              <w:widowControl/>
              <w:spacing w:after="78" w:line="360" w:lineRule="atLeast"/>
              <w:jc w:val="center"/>
              <w:rPr>
                <w:rFonts w:hint="eastAsia" w:ascii="仿宋" w:hAnsi="仿宋" w:eastAsia="仿宋" w:cs="仿宋"/>
                <w:sz w:val="24"/>
                <w:szCs w:val="20"/>
              </w:rPr>
            </w:pPr>
          </w:p>
        </w:tc>
      </w:tr>
      <w:tr w14:paraId="14A6AB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666D634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6"/>
            <w:vAlign w:val="center"/>
          </w:tcPr>
          <w:p w14:paraId="0D872517">
            <w:pPr>
              <w:widowControl/>
              <w:spacing w:after="78" w:line="360" w:lineRule="atLeast"/>
              <w:jc w:val="center"/>
              <w:rPr>
                <w:rFonts w:hint="eastAsia" w:ascii="仿宋" w:hAnsi="仿宋" w:eastAsia="仿宋" w:cs="仿宋"/>
                <w:sz w:val="24"/>
                <w:szCs w:val="20"/>
              </w:rPr>
            </w:pPr>
          </w:p>
        </w:tc>
      </w:tr>
    </w:tbl>
    <w:p w14:paraId="591FD694">
      <w:pPr>
        <w:tabs>
          <w:tab w:val="left" w:pos="630"/>
        </w:tabs>
        <w:spacing w:after="78" w:line="276" w:lineRule="auto"/>
        <w:rPr>
          <w:rFonts w:hint="eastAsia" w:ascii="仿宋" w:hAnsi="仿宋" w:eastAsia="仿宋"/>
          <w:color w:val="000000"/>
          <w:kern w:val="0"/>
          <w:szCs w:val="21"/>
        </w:rPr>
      </w:pPr>
    </w:p>
    <w:p w14:paraId="3577E048">
      <w:pPr>
        <w:spacing w:after="78"/>
        <w:ind w:firstLine="560"/>
      </w:pPr>
    </w:p>
    <w:p w14:paraId="52E3EEF1">
      <w:pPr>
        <w:spacing w:after="78"/>
        <w:ind w:firstLine="560"/>
      </w:pPr>
    </w:p>
    <w:p w14:paraId="0D5263A7">
      <w:pPr>
        <w:spacing w:after="78"/>
        <w:ind w:firstLine="560"/>
      </w:pPr>
    </w:p>
    <w:p w14:paraId="2CC5B7D0">
      <w:pPr>
        <w:snapToGrid w:val="0"/>
        <w:spacing w:afterLines="0" w:line="360" w:lineRule="auto"/>
        <w:ind w:firstLine="527" w:firstLineChars="250"/>
        <w:jc w:val="right"/>
        <w:rPr>
          <w:rFonts w:hint="eastAsia" w:ascii="仿宋" w:hAnsi="仿宋" w:eastAsia="仿宋" w:cs="Arial"/>
          <w:b/>
          <w:bCs/>
        </w:rPr>
      </w:pPr>
      <w:r>
        <w:rPr>
          <w:rFonts w:ascii="仿宋" w:hAnsi="仿宋" w:eastAsia="仿宋"/>
          <w:b/>
          <w:szCs w:val="21"/>
        </w:rPr>
        <w:br w:type="page"/>
      </w:r>
    </w:p>
    <w:p w14:paraId="38297E9B">
      <w:pPr>
        <w:snapToGrid w:val="0"/>
        <w:spacing w:afterLines="0" w:line="360" w:lineRule="auto"/>
        <w:ind w:firstLine="525" w:firstLineChars="250"/>
        <w:jc w:val="right"/>
        <w:rPr>
          <w:rFonts w:hint="eastAsia" w:ascii="仿宋" w:hAnsi="仿宋" w:eastAsia="仿宋" w:cs="Arial"/>
        </w:rPr>
      </w:pPr>
    </w:p>
    <w:p w14:paraId="6B9C31D8">
      <w:pPr>
        <w:pStyle w:val="60"/>
        <w:keepNext/>
        <w:keepLines/>
        <w:numPr>
          <w:ilvl w:val="0"/>
          <w:numId w:val="7"/>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6231242D">
      <w:pPr>
        <w:pStyle w:val="5"/>
        <w:spacing w:before="156" w:beforeLines="50" w:after="156" w:afterLines="50" w:line="415" w:lineRule="auto"/>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0B757B5F">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深圳市佳耀生态环保科技有限公司东莞分公司</w:t>
      </w:r>
      <w:r>
        <w:rPr>
          <w:rFonts w:ascii="仿宋" w:hAnsi="仿宋" w:eastAsia="仿宋"/>
          <w:color w:val="000000"/>
          <w:szCs w:val="21"/>
        </w:rPr>
        <w:t>：</w:t>
      </w:r>
    </w:p>
    <w:p w14:paraId="350AB0BF">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bCs/>
          <w:color w:val="000000"/>
          <w:szCs w:val="21"/>
          <w:u w:val="single"/>
        </w:rPr>
        <w:t>危险废物收集服务项目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olor w:val="000000"/>
          <w:szCs w:val="21"/>
          <w:u w:val="single"/>
        </w:rPr>
        <w:t>危险废物收集服务项目</w:t>
      </w:r>
      <w:r>
        <w:rPr>
          <w:rFonts w:hint="eastAsia" w:ascii="仿宋" w:hAnsi="仿宋" w:eastAsia="仿宋"/>
          <w:bCs/>
          <w:color w:val="000000"/>
          <w:szCs w:val="21"/>
        </w:rPr>
        <w:t>报价</w:t>
      </w:r>
      <w:r>
        <w:rPr>
          <w:rFonts w:ascii="仿宋" w:hAnsi="仿宋" w:eastAsia="仿宋"/>
          <w:color w:val="000000"/>
          <w:szCs w:val="21"/>
        </w:rPr>
        <w:t>，作出以下承诺：</w:t>
      </w:r>
    </w:p>
    <w:p w14:paraId="762B62EE">
      <w:pPr>
        <w:pStyle w:val="62"/>
        <w:numPr>
          <w:ilvl w:val="0"/>
          <w:numId w:val="8"/>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797F329A">
      <w:pPr>
        <w:pStyle w:val="62"/>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1FC53EC0">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6D050884">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752495B4">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17900E0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0C7620B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2AD10875">
      <w:pPr>
        <w:tabs>
          <w:tab w:val="left" w:pos="1110"/>
        </w:tabs>
        <w:spacing w:after="78" w:line="276" w:lineRule="auto"/>
        <w:ind w:firstLine="420" w:firstLineChars="200"/>
        <w:rPr>
          <w:rFonts w:hint="eastAsia" w:ascii="仿宋" w:hAnsi="仿宋" w:eastAsia="仿宋"/>
          <w:szCs w:val="21"/>
        </w:rPr>
      </w:pPr>
      <w:r>
        <w:rPr>
          <w:rFonts w:ascii="仿宋" w:hAnsi="仿宋" w:eastAsia="仿宋"/>
          <w:szCs w:val="21"/>
        </w:rPr>
        <w:t>7.我公司承诺不将本项目转包或分包给其他任何机构。</w:t>
      </w:r>
    </w:p>
    <w:p w14:paraId="303E4865">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8.我公司承诺知悉并接受本项目为线上报价，无现场议价环节，本报价文件报价即为最终报价。</w:t>
      </w:r>
    </w:p>
    <w:p w14:paraId="606C2700">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 xml:space="preserve">9.我公司承诺符合以下要求： </w:t>
      </w:r>
    </w:p>
    <w:p w14:paraId="26306843">
      <w:pPr>
        <w:tabs>
          <w:tab w:val="left" w:pos="1110"/>
        </w:tabs>
        <w:spacing w:after="78" w:line="276" w:lineRule="auto"/>
        <w:ind w:firstLine="420" w:firstLineChars="200"/>
        <w:rPr>
          <w:rFonts w:hint="eastAsia" w:ascii="仿宋" w:hAnsi="仿宋" w:eastAsia="仿宋"/>
          <w:color w:val="000000"/>
          <w:sz w:val="21"/>
          <w:szCs w:val="21"/>
        </w:rPr>
      </w:pPr>
      <w:bookmarkStart w:id="10" w:name="_Hlk173334961"/>
      <w:r>
        <w:rPr>
          <w:rFonts w:hint="eastAsia" w:ascii="仿宋" w:hAnsi="仿宋" w:eastAsia="仿宋"/>
          <w:color w:val="000000"/>
          <w:sz w:val="21"/>
          <w:szCs w:val="21"/>
        </w:rPr>
        <w:t>（1）具有良好的商业信誉、未被列入工商系统经营异常名录或严重违法失信企业名单，未被列入人民法院公布的失信被执行人名单；</w:t>
      </w:r>
    </w:p>
    <w:p w14:paraId="2A1C8F09">
      <w:pPr>
        <w:tabs>
          <w:tab w:val="left" w:pos="1110"/>
        </w:tabs>
        <w:spacing w:after="78" w:line="276" w:lineRule="auto"/>
        <w:ind w:firstLine="420" w:firstLineChars="200"/>
        <w:rPr>
          <w:rFonts w:hint="eastAsia" w:ascii="仿宋" w:hAnsi="仿宋" w:eastAsia="仿宋"/>
          <w:color w:val="000000"/>
          <w:sz w:val="21"/>
          <w:szCs w:val="21"/>
        </w:rPr>
      </w:pPr>
      <w:r>
        <w:rPr>
          <w:rFonts w:hint="eastAsia" w:ascii="仿宋" w:hAnsi="仿宋" w:eastAsia="仿宋"/>
          <w:color w:val="000000"/>
          <w:sz w:val="21"/>
          <w:szCs w:val="21"/>
        </w:rPr>
        <w:t>（2）近一年内（2024年7月至今）或成立至今（成立不足一年的单位）财务状况无亏损或净资产大于0；</w:t>
      </w:r>
    </w:p>
    <w:p w14:paraId="24A804B1">
      <w:pPr>
        <w:tabs>
          <w:tab w:val="left" w:pos="1110"/>
        </w:tabs>
        <w:spacing w:after="78" w:line="276" w:lineRule="auto"/>
        <w:ind w:firstLine="420" w:firstLineChars="200"/>
        <w:rPr>
          <w:rFonts w:hint="eastAsia" w:ascii="仿宋" w:hAnsi="仿宋" w:eastAsia="仿宋"/>
          <w:color w:val="000000"/>
          <w:sz w:val="21"/>
          <w:szCs w:val="21"/>
        </w:rPr>
      </w:pPr>
      <w:r>
        <w:rPr>
          <w:rFonts w:hint="eastAsia" w:ascii="仿宋" w:hAnsi="仿宋" w:eastAsia="仿宋"/>
          <w:color w:val="000000"/>
          <w:sz w:val="21"/>
          <w:szCs w:val="21"/>
        </w:rPr>
        <w:t>（3）近两年内（2023年7月至今）或成立至今（成立不足两年的单位）至少具备一项正在实施或已完成的类似业绩；</w:t>
      </w:r>
    </w:p>
    <w:p w14:paraId="5CC8CB86">
      <w:pPr>
        <w:tabs>
          <w:tab w:val="left" w:pos="1110"/>
        </w:tabs>
        <w:spacing w:after="78" w:line="276" w:lineRule="auto"/>
        <w:ind w:firstLine="420" w:firstLineChars="200"/>
        <w:rPr>
          <w:rFonts w:hint="eastAsia" w:ascii="仿宋" w:hAnsi="仿宋" w:eastAsia="仿宋"/>
          <w:color w:val="000000"/>
          <w:sz w:val="21"/>
          <w:szCs w:val="21"/>
        </w:rPr>
      </w:pPr>
      <w:r>
        <w:rPr>
          <w:rFonts w:hint="eastAsia" w:ascii="仿宋" w:hAnsi="仿宋" w:eastAsia="仿宋"/>
          <w:color w:val="000000"/>
          <w:sz w:val="21"/>
          <w:szCs w:val="21"/>
        </w:rPr>
        <w:t>（4）不存在与单位负责人为同一人或者存在直接控股、管理关系的其他供应商参与同一合同项下的采购活动的行为；</w:t>
      </w:r>
    </w:p>
    <w:p w14:paraId="1E34A9A0">
      <w:pPr>
        <w:tabs>
          <w:tab w:val="left" w:pos="1110"/>
        </w:tabs>
        <w:spacing w:after="78" w:line="276" w:lineRule="auto"/>
        <w:ind w:firstLine="420" w:firstLineChars="200"/>
        <w:rPr>
          <w:rFonts w:hint="eastAsia" w:ascii="仿宋" w:hAnsi="仿宋" w:eastAsia="仿宋"/>
          <w:color w:val="000000"/>
          <w:sz w:val="21"/>
          <w:szCs w:val="21"/>
        </w:rPr>
      </w:pPr>
      <w:r>
        <w:rPr>
          <w:rFonts w:hint="eastAsia" w:ascii="仿宋" w:hAnsi="仿宋" w:eastAsia="仿宋"/>
          <w:color w:val="000000"/>
          <w:sz w:val="21"/>
          <w:szCs w:val="21"/>
        </w:rPr>
        <w:t>（5）未组成联合体参选。</w:t>
      </w:r>
    </w:p>
    <w:p w14:paraId="655C1FB6">
      <w:pPr>
        <w:pStyle w:val="62"/>
        <w:numPr>
          <w:ilvl w:val="0"/>
          <w:numId w:val="8"/>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1A3978FD">
      <w:pPr>
        <w:tabs>
          <w:tab w:val="left" w:pos="1110"/>
        </w:tabs>
        <w:spacing w:after="78" w:line="276" w:lineRule="auto"/>
        <w:ind w:firstLine="420" w:firstLineChars="200"/>
        <w:rPr>
          <w:rFonts w:hint="eastAsia" w:ascii="仿宋" w:hAnsi="仿宋" w:eastAsia="仿宋"/>
          <w:color w:val="000000"/>
          <w:sz w:val="21"/>
          <w:szCs w:val="21"/>
        </w:rPr>
      </w:pPr>
      <w:r>
        <w:rPr>
          <w:rFonts w:hint="eastAsia" w:ascii="仿宋" w:hAnsi="仿宋" w:eastAsia="仿宋"/>
          <w:color w:val="000000"/>
          <w:sz w:val="21"/>
          <w:szCs w:val="21"/>
        </w:rPr>
        <w:t>为保证交易公平、公正、廉洁、诚信，抵制商业贿赂和不正当竞争，根据国家有关法律法规及廉洁建设相关规定，对于贵公司开展的</w:t>
      </w:r>
      <w:r>
        <w:rPr>
          <w:rFonts w:hint="eastAsia" w:ascii="仿宋" w:hAnsi="仿宋" w:eastAsia="仿宋"/>
          <w:color w:val="000000"/>
          <w:szCs w:val="21"/>
        </w:rPr>
        <w:t>危险废物收集服务项目</w:t>
      </w:r>
      <w:r>
        <w:rPr>
          <w:rFonts w:hint="eastAsia" w:ascii="仿宋" w:hAnsi="仿宋" w:eastAsia="仿宋"/>
          <w:color w:val="000000"/>
          <w:sz w:val="21"/>
          <w:szCs w:val="21"/>
        </w:rPr>
        <w:t>选聘，特承诺如下：</w:t>
      </w:r>
    </w:p>
    <w:p w14:paraId="29E33CA8">
      <w:pPr>
        <w:tabs>
          <w:tab w:val="left" w:pos="1110"/>
        </w:tabs>
        <w:spacing w:after="78" w:line="276" w:lineRule="auto"/>
        <w:ind w:firstLine="420" w:firstLineChars="200"/>
        <w:rPr>
          <w:rFonts w:hint="eastAsia" w:ascii="仿宋" w:hAnsi="仿宋" w:eastAsia="仿宋"/>
          <w:color w:val="000000"/>
          <w:sz w:val="21"/>
          <w:szCs w:val="21"/>
        </w:rPr>
      </w:pPr>
      <w:r>
        <w:rPr>
          <w:rFonts w:hint="eastAsia" w:ascii="仿宋" w:hAnsi="仿宋" w:eastAsia="仿宋"/>
          <w:color w:val="000000"/>
          <w:sz w:val="21"/>
          <w:szCs w:val="21"/>
        </w:rPr>
        <w:t>1.此次交易严格遵守相关法律、法规、相关政策，未采取任何违法违纪行为损害国家、集体利益和双方合法权益。</w:t>
      </w:r>
    </w:p>
    <w:p w14:paraId="0D9ABC18">
      <w:pPr>
        <w:tabs>
          <w:tab w:val="left" w:pos="1110"/>
        </w:tabs>
        <w:spacing w:after="78" w:line="276" w:lineRule="auto"/>
        <w:ind w:firstLine="420" w:firstLineChars="200"/>
        <w:rPr>
          <w:rFonts w:hint="eastAsia" w:ascii="仿宋" w:hAnsi="仿宋" w:eastAsia="仿宋"/>
          <w:color w:val="000000"/>
          <w:sz w:val="21"/>
          <w:szCs w:val="21"/>
        </w:rPr>
      </w:pPr>
      <w:r>
        <w:rPr>
          <w:rFonts w:hint="eastAsia" w:ascii="仿宋" w:hAnsi="仿宋" w:eastAsia="仿宋"/>
          <w:color w:val="000000"/>
          <w:sz w:val="21"/>
          <w:szCs w:val="21"/>
        </w:rPr>
        <w:t>2.此次交易过程中所提供的一切相关资料均符合相关法律法规规定和有关要求，材料内容真实有效，无虚报、瞒报或不报的情况。</w:t>
      </w:r>
    </w:p>
    <w:p w14:paraId="042EAE01">
      <w:pPr>
        <w:tabs>
          <w:tab w:val="left" w:pos="1110"/>
        </w:tabs>
        <w:spacing w:after="78" w:line="276" w:lineRule="auto"/>
        <w:ind w:firstLine="420" w:firstLineChars="200"/>
        <w:rPr>
          <w:rFonts w:hint="eastAsia" w:ascii="仿宋" w:hAnsi="仿宋" w:eastAsia="仿宋"/>
          <w:color w:val="000000"/>
          <w:sz w:val="21"/>
          <w:szCs w:val="21"/>
        </w:rPr>
      </w:pPr>
      <w:r>
        <w:rPr>
          <w:rFonts w:hint="eastAsia" w:ascii="仿宋" w:hAnsi="仿宋" w:eastAsia="仿宋"/>
          <w:color w:val="000000"/>
          <w:sz w:val="21"/>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4B0C9CE8">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color w:val="000000"/>
          <w:sz w:val="21"/>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bookmarkEnd w:id="10"/>
    <w:p w14:paraId="3DEC5DD4">
      <w:pPr>
        <w:tabs>
          <w:tab w:val="left" w:pos="1110"/>
        </w:tabs>
        <w:spacing w:after="78" w:line="276" w:lineRule="auto"/>
        <w:ind w:firstLine="420" w:firstLineChars="200"/>
        <w:rPr>
          <w:rFonts w:hint="eastAsia" w:ascii="仿宋" w:hAnsi="仿宋" w:eastAsia="仿宋"/>
          <w:color w:val="000000"/>
          <w:szCs w:val="21"/>
        </w:rPr>
      </w:pPr>
    </w:p>
    <w:p w14:paraId="2FD856EC">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w:t>
      </w:r>
      <w:r>
        <w:rPr>
          <w:rFonts w:hint="eastAsia" w:ascii="仿宋" w:hAnsi="仿宋" w:eastAsia="仿宋"/>
          <w:szCs w:val="21"/>
          <w:u w:val="single"/>
        </w:rPr>
        <w:t>章</w:t>
      </w:r>
      <w:r>
        <w:rPr>
          <w:rFonts w:ascii="仿宋" w:hAnsi="仿宋" w:eastAsia="仿宋"/>
          <w:szCs w:val="21"/>
          <w:u w:val="single"/>
        </w:rPr>
        <w:t>）</w:t>
      </w:r>
    </w:p>
    <w:p w14:paraId="198B6B76">
      <w:pPr>
        <w:spacing w:after="78" w:line="276" w:lineRule="auto"/>
        <w:ind w:firstLine="630" w:firstLineChars="300"/>
        <w:rPr>
          <w:rFonts w:hint="eastAsia" w:ascii="仿宋" w:hAnsi="仿宋" w:eastAsia="仿宋"/>
          <w:color w:val="000000"/>
          <w:szCs w:val="21"/>
        </w:rPr>
      </w:pPr>
      <w:r>
        <w:rPr>
          <w:rFonts w:ascii="仿宋" w:hAnsi="仿宋" w:eastAsia="仿宋"/>
          <w:color w:val="000000"/>
          <w:szCs w:val="21"/>
        </w:rPr>
        <w:t>年    月    日</w:t>
      </w:r>
      <w:r>
        <w:rPr>
          <w:rFonts w:hint="eastAsia" w:ascii="仿宋" w:hAnsi="仿宋" w:eastAsia="仿宋"/>
          <w:color w:val="000000"/>
          <w:szCs w:val="21"/>
        </w:rPr>
        <w:br w:type="page"/>
      </w:r>
    </w:p>
    <w:p w14:paraId="7792218D">
      <w:pPr>
        <w:pStyle w:val="5"/>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营业执照（需盖章）</w:t>
      </w:r>
    </w:p>
    <w:p w14:paraId="3C1E20AC">
      <w:pPr>
        <w:tabs>
          <w:tab w:val="left" w:pos="1110"/>
        </w:tabs>
        <w:spacing w:after="78" w:line="276" w:lineRule="auto"/>
        <w:ind w:firstLine="480" w:firstLineChars="200"/>
        <w:rPr>
          <w:rFonts w:hint="eastAsia" w:ascii="仿宋" w:hAnsi="仿宋" w:eastAsia="仿宋" w:cs="宋体"/>
          <w:color w:val="000000"/>
          <w:sz w:val="24"/>
          <w:szCs w:val="21"/>
        </w:rPr>
      </w:pPr>
      <w:r>
        <w:rPr>
          <w:rFonts w:ascii="仿宋" w:hAnsi="仿宋" w:eastAsia="仿宋" w:cs="宋体"/>
          <w:color w:val="000000"/>
          <w:sz w:val="24"/>
          <w:szCs w:val="21"/>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1513805742"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4B9BE8F8">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59264;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OA4eGddAgAAwgQAAA4AAABkcnMvZTJvRG9jLnhtbK1UwW7bMAy9&#10;D9g/CLqvttO47YI6RdYiw4BiLdANOyuyHAuQRE1SYncfsP3BTrvsvu/qd4ySnTZtd+hhPiikSD2S&#10;j2ROz3qtyFY4L8FUtDjIKRGGQy3NuqKfPy3fnFDiAzM1U2BERW+Fp2fz169OOzsTE2hB1cIRBDF+&#10;1tmKtiHYWZZ53grN/AFYYdDYgNMsoOrWWe1Yh+haZZM8P8o6cLV1wIX3eHsxGOmI6F4CCE0jubgA&#10;vtHChAHVCcUCluRbaT2dp2ybRvBw1TReBKIqipWGdGIQlFfxzOanbLZ2zLaSjymwl6TwpCbNpMGg&#10;91AXLDCycfIZlJbcgYcmHHDQ2VBIYgSrKPIn3Ny0zIpUC1Lt7T3p/v/B8o/ba0dkjZNQFocneXk8&#10;nVBimMbO3/38cffrz93v76SIPHXWz9D9xuKD0L+DHt/s7j1exvL7xun4i4URtCPLt/csiz4Qjpfl&#10;FKfguKSEo+2wPClQjzjZw3PrfHgvQJMoVNRhGxO7bHvpw+C6c4nRPChZL6VSSXHr1blyZMuw5cv0&#10;jeiP3JQhXUWPDss8IT+y+X2IPH3PITBdZTDrSMtQfpRCv+pHrlZQ3yJVDoah85YvJZZzyXy4Zg6n&#10;DNnBPQxXeDQKMBsYJUpacN/+dR/9sflopaTDqa2o/7phTlCiPhgci7fFdBrHPCnT8niCitu3rPYt&#10;ZqPPAVkqcOMtT2L0D2onNg70F1zXRYyKJmY4xq5o2InnYdglXHcuFovkhINtWbg0N5ZH6NgTA4tN&#10;gEam3kWaBm5G9nC0U/fHNYy7s68nr4e/nv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zRVHtMA&#10;AAAHAQAADwAAAAAAAAABACAAAAAiAAAAZHJzL2Rvd25yZXYueG1sUEsBAhQAFAAAAAgAh07iQOA4&#10;eGddAgAAwgQAAA4AAAAAAAAAAQAgAAAAIgEAAGRycy9lMm9Eb2MueG1sUEsFBgAAAAAGAAYAWQEA&#10;APEFAAAAAA==&#10;">
                <v:fill on="t" focussize="0,0"/>
                <v:stroke weight="0.5pt" color="#000000 [3213]" joinstyle="round"/>
                <v:imagedata o:title=""/>
                <o:lock v:ext="edit" aspectratio="f"/>
                <v:textbox>
                  <w:txbxContent>
                    <w:p w14:paraId="4B9BE8F8">
                      <w:pPr>
                        <w:spacing w:after="78"/>
                      </w:pPr>
                    </w:p>
                  </w:txbxContent>
                </v:textbox>
              </v:shape>
            </w:pict>
          </mc:Fallback>
        </mc:AlternateContent>
      </w:r>
    </w:p>
    <w:p w14:paraId="6AD84976">
      <w:pPr>
        <w:tabs>
          <w:tab w:val="left" w:pos="1110"/>
        </w:tabs>
        <w:spacing w:after="78" w:line="276" w:lineRule="auto"/>
        <w:ind w:firstLine="480" w:firstLineChars="200"/>
        <w:rPr>
          <w:rFonts w:hint="eastAsia" w:ascii="仿宋" w:hAnsi="仿宋" w:eastAsia="仿宋" w:cs="宋体"/>
          <w:color w:val="000000"/>
          <w:sz w:val="24"/>
          <w:szCs w:val="21"/>
        </w:rPr>
      </w:pPr>
    </w:p>
    <w:p w14:paraId="0687320D">
      <w:pPr>
        <w:tabs>
          <w:tab w:val="left" w:pos="1110"/>
        </w:tabs>
        <w:spacing w:after="78" w:line="276" w:lineRule="auto"/>
        <w:ind w:firstLine="480" w:firstLineChars="200"/>
        <w:rPr>
          <w:rFonts w:hint="eastAsia" w:ascii="仿宋" w:hAnsi="仿宋" w:eastAsia="仿宋" w:cs="宋体"/>
          <w:color w:val="000000"/>
          <w:sz w:val="24"/>
          <w:szCs w:val="21"/>
        </w:rPr>
      </w:pPr>
    </w:p>
    <w:p w14:paraId="0B97CBB5">
      <w:pPr>
        <w:tabs>
          <w:tab w:val="left" w:pos="1110"/>
        </w:tabs>
        <w:spacing w:after="78" w:line="276" w:lineRule="auto"/>
        <w:ind w:firstLine="480" w:firstLineChars="200"/>
        <w:rPr>
          <w:rFonts w:hint="eastAsia" w:ascii="仿宋" w:hAnsi="仿宋" w:eastAsia="仿宋" w:cs="宋体"/>
          <w:color w:val="000000"/>
          <w:sz w:val="24"/>
          <w:szCs w:val="21"/>
        </w:rPr>
      </w:pPr>
    </w:p>
    <w:p w14:paraId="596E8DF5">
      <w:pPr>
        <w:tabs>
          <w:tab w:val="left" w:pos="1110"/>
        </w:tabs>
        <w:spacing w:after="78" w:line="276" w:lineRule="auto"/>
        <w:ind w:firstLine="480" w:firstLineChars="200"/>
        <w:rPr>
          <w:rFonts w:hint="eastAsia" w:ascii="仿宋" w:hAnsi="仿宋" w:eastAsia="仿宋" w:cs="宋体"/>
          <w:color w:val="000000"/>
          <w:sz w:val="24"/>
          <w:szCs w:val="21"/>
        </w:rPr>
      </w:pPr>
    </w:p>
    <w:p w14:paraId="0148DA7B">
      <w:pPr>
        <w:tabs>
          <w:tab w:val="left" w:pos="1110"/>
        </w:tabs>
        <w:spacing w:after="78" w:line="276" w:lineRule="auto"/>
        <w:ind w:firstLine="480" w:firstLineChars="200"/>
        <w:rPr>
          <w:rFonts w:hint="eastAsia" w:ascii="仿宋" w:hAnsi="仿宋" w:eastAsia="仿宋" w:cs="宋体"/>
          <w:color w:val="000000"/>
          <w:sz w:val="24"/>
          <w:szCs w:val="21"/>
        </w:rPr>
      </w:pPr>
    </w:p>
    <w:p w14:paraId="62F2586E">
      <w:pPr>
        <w:tabs>
          <w:tab w:val="left" w:pos="1110"/>
        </w:tabs>
        <w:spacing w:after="78" w:line="276" w:lineRule="auto"/>
        <w:ind w:firstLine="480" w:firstLineChars="200"/>
        <w:rPr>
          <w:rFonts w:hint="eastAsia" w:ascii="仿宋" w:hAnsi="仿宋" w:eastAsia="仿宋" w:cs="宋体"/>
          <w:color w:val="000000"/>
          <w:sz w:val="24"/>
          <w:szCs w:val="21"/>
        </w:rPr>
      </w:pPr>
    </w:p>
    <w:p w14:paraId="06375333">
      <w:pPr>
        <w:tabs>
          <w:tab w:val="left" w:pos="1110"/>
        </w:tabs>
        <w:spacing w:after="78" w:line="276" w:lineRule="auto"/>
        <w:ind w:firstLine="480" w:firstLineChars="200"/>
        <w:rPr>
          <w:rFonts w:hint="eastAsia" w:ascii="仿宋" w:hAnsi="仿宋" w:eastAsia="仿宋" w:cs="宋体"/>
          <w:color w:val="000000"/>
          <w:sz w:val="24"/>
          <w:szCs w:val="21"/>
        </w:rPr>
      </w:pPr>
    </w:p>
    <w:p w14:paraId="137F854D">
      <w:pPr>
        <w:spacing w:after="78" w:line="288" w:lineRule="auto"/>
        <w:rPr>
          <w:rFonts w:hint="eastAsia" w:ascii="仿宋" w:hAnsi="仿宋" w:eastAsia="仿宋"/>
          <w:b/>
          <w:szCs w:val="21"/>
        </w:rPr>
      </w:pPr>
    </w:p>
    <w:p w14:paraId="1E29902D">
      <w:pPr>
        <w:pStyle w:val="2"/>
        <w:ind w:left="2940"/>
      </w:pPr>
    </w:p>
    <w:p w14:paraId="3B8CC07A">
      <w:pPr>
        <w:spacing w:after="78"/>
      </w:pPr>
    </w:p>
    <w:p w14:paraId="21C0CFA7">
      <w:pPr>
        <w:pStyle w:val="2"/>
        <w:ind w:left="2940"/>
      </w:pPr>
    </w:p>
    <w:p w14:paraId="7CEB1082">
      <w:pPr>
        <w:spacing w:after="78"/>
      </w:pPr>
    </w:p>
    <w:p w14:paraId="60E53912">
      <w:pPr>
        <w:pStyle w:val="2"/>
        <w:ind w:left="2940"/>
      </w:pPr>
    </w:p>
    <w:p w14:paraId="54CB4C77">
      <w:pPr>
        <w:pStyle w:val="5"/>
        <w:spacing w:before="156" w:beforeLines="50" w:after="156" w:afterLines="50"/>
        <w:ind w:left="1020" w:leftChars="200" w:hanging="600"/>
        <w:jc w:val="left"/>
        <w:rPr>
          <w:rFonts w:hint="eastAsia" w:ascii="仿宋" w:hAnsi="仿宋" w:eastAsia="仿宋" w:cs="宋体"/>
          <w:color w:val="000000"/>
          <w:sz w:val="24"/>
          <w:szCs w:val="21"/>
        </w:rPr>
      </w:pPr>
      <w:r>
        <w:rPr>
          <w:rFonts w:hint="eastAsia" w:ascii="仿宋" w:hAnsi="仿宋" w:eastAsia="仿宋" w:cs="宋体"/>
          <w:color w:val="000000"/>
          <w:sz w:val="24"/>
          <w:szCs w:val="21"/>
        </w:rPr>
        <w:t>危险废物经营许可证资质文件（需盖章）</w:t>
      </w:r>
    </w:p>
    <w:p w14:paraId="164164C6">
      <w:pPr>
        <w:tabs>
          <w:tab w:val="left" w:pos="1110"/>
        </w:tabs>
        <w:spacing w:after="78" w:line="276" w:lineRule="auto"/>
        <w:ind w:firstLine="480" w:firstLineChars="200"/>
        <w:rPr>
          <w:rFonts w:hint="eastAsia" w:ascii="仿宋" w:hAnsi="仿宋" w:eastAsia="仿宋" w:cs="宋体"/>
          <w:color w:val="000000"/>
          <w:sz w:val="24"/>
          <w:szCs w:val="21"/>
        </w:rPr>
      </w:pPr>
      <w:r>
        <w:rPr>
          <w:rFonts w:ascii="仿宋" w:hAnsi="仿宋" w:eastAsia="仿宋" w:cs="宋体"/>
          <w:color w:val="000000"/>
          <w:sz w:val="24"/>
          <w:szCs w:val="21"/>
        </w:rPr>
        <mc:AlternateContent>
          <mc:Choice Requires="wps">
            <w:drawing>
              <wp:anchor distT="0" distB="0" distL="114300" distR="114300" simplePos="0" relativeHeight="251660288" behindDoc="0" locked="0" layoutInCell="1" allowOverlap="1">
                <wp:simplePos x="0" y="0"/>
                <wp:positionH relativeFrom="column">
                  <wp:posOffset>9525</wp:posOffset>
                </wp:positionH>
                <wp:positionV relativeFrom="paragraph">
                  <wp:posOffset>11430</wp:posOffset>
                </wp:positionV>
                <wp:extent cx="5400675" cy="3581400"/>
                <wp:effectExtent l="0" t="0" r="28575" b="19050"/>
                <wp:wrapNone/>
                <wp:docPr id="2064768556" name="文本框 1"/>
                <wp:cNvGraphicFramePr/>
                <a:graphic xmlns:a="http://schemas.openxmlformats.org/drawingml/2006/main">
                  <a:graphicData uri="http://schemas.microsoft.com/office/word/2010/wordprocessingShape">
                    <wps:wsp>
                      <wps:cNvSpPr txBox="1"/>
                      <wps:spPr>
                        <a:xfrm>
                          <a:off x="0" y="0"/>
                          <a:ext cx="5400675" cy="3581400"/>
                        </a:xfrm>
                        <a:prstGeom prst="rect">
                          <a:avLst/>
                        </a:prstGeom>
                        <a:solidFill>
                          <a:schemeClr val="lt1"/>
                        </a:solidFill>
                        <a:ln w="6350">
                          <a:solidFill>
                            <a:schemeClr val="tx1"/>
                          </a:solidFill>
                        </a:ln>
                      </wps:spPr>
                      <wps:txbx>
                        <w:txbxContent>
                          <w:p w14:paraId="77BB6A4A">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 o:spid="_x0000_s1026" o:spt="202" type="#_x0000_t202" style="position:absolute;left:0pt;margin-left:0.75pt;margin-top:0.9pt;height:282pt;width:425.25pt;z-index:251660288;mso-width-relative:page;mso-height-relative:page;" fillcolor="#FFFFFF [3201]" filled="t" stroked="t" coordsize="21600,21600" o:gfxdata="UEsDBAoAAAAAAIdO4kAAAAAAAAAAAAAAAAAEAAAAZHJzL1BLAwQUAAAACACHTuJAizRVHtMAAAAH&#10;AQAADwAAAGRycy9kb3ducmV2LnhtbE2PwWrDMBBE74X8g9hAb40cBxvjWg40ECi9NfWlN8Xa2KbS&#10;ykhKnP59t6f2tAwzzL5p9ndnxQ1DnDwp2G4yEEi9NxMNCrqP41MFIiZNRltPqOAbI+zb1UOja+MX&#10;esfbKQ2CSyjWWsGY0lxLGfsRnY4bPyOxd/HB6cQyDNIEvXC5szLPslI6PRF/GPWMhxH7r9PVKXgt&#10;X9IndubN7PKdXzrZh4uNSj2ut9kziIT39BeGX3xGh5aZzv5KJgrLuuAgH+ZntypyXnZWUJRFBbJt&#10;5H/+9gdQSwMEFAAAAAgAh07iQITLIcheAgAAwgQAAA4AAABkcnMvZTJvRG9jLnhtbK1UwW7bMAy9&#10;D9g/CLqvdtI47YI6RdYiw4BiLdANOyuyHAuQRE1SYncfsP3BTrvsvu/qd4ySnTRtd+hhPsikSD+S&#10;j6TPzjutyFY4L8GUdHSUUyIMh0qadUk/f1q+OaXEB2YqpsCIkt4JT8/nr1+dtXYmxtCAqoQjCGL8&#10;rLUlbUKwsyzzvBGa+SOwwqCxBqdZQNWts8qxFtG1ysZ5Ps1acJV1wIX3eHvZG+mA6F4CCHUtubgE&#10;vtHChB7VCcUCluQbaT2dp2zrWvBwXddeBKJKipWGdGIQlFfxzOZnbLZ2zDaSDymwl6TwpCbNpMGg&#10;e6hLFhjZOPkMSkvuwEMdjjjorC8kMYJVjPIn3Nw2zIpUC1Lt7Z50//9g+cftjSOyKuk4n05OpqdF&#10;MaXEMI2dv//54/7Xn/vf38ko8tRaP0P3W4sfhO4ddDg9u3uPl7H8rnY6vrEwgnZk+W7PsugC4XhZ&#10;THAKTgpKONqOi9MR6hEne/jcOh/eC9AkCiV12MbELtte+dC77lxiNA9KVkupVFLcenWhHNkybPky&#10;PQP6IzdlSFvS6XGRJ+RHNn8IkafnOQSmqwxmHWnpy49S6FbdwNUKqjukykE/dN7ypcRyrpgPN8zh&#10;lCE7uIfhGo9aAWYDg0RJA+7bv+6jPzYfrZS0OLUl9V83zAlK1AeDY/F2NJnEMU/KpDgZo+IOLatD&#10;i9noC0CWRrjxlicx+ge1E2sH+guu6yJGRRMzHGOXNOzEi9DvEq47F4tFcsLBtixcmVvLI3TsiYHF&#10;JkAtU+8iTT03A3s42qn7wxrG3TnUk9fDr2f+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Is0VR7T&#10;AAAABwEAAA8AAAAAAAAAAQAgAAAAIgAAAGRycy9kb3ducmV2LnhtbFBLAQIUABQAAAAIAIdO4kCE&#10;yyHIXgIAAMIEAAAOAAAAAAAAAAEAIAAAACIBAABkcnMvZTJvRG9jLnhtbFBLBQYAAAAABgAGAFkB&#10;AADyBQAAAAA=&#10;">
                <v:fill on="t" focussize="0,0"/>
                <v:stroke weight="0.5pt" color="#000000 [3213]" joinstyle="round"/>
                <v:imagedata o:title=""/>
                <o:lock v:ext="edit" aspectratio="f"/>
                <v:textbox>
                  <w:txbxContent>
                    <w:p w14:paraId="77BB6A4A">
                      <w:pPr>
                        <w:spacing w:after="78"/>
                      </w:pPr>
                    </w:p>
                  </w:txbxContent>
                </v:textbox>
              </v:shape>
            </w:pict>
          </mc:Fallback>
        </mc:AlternateContent>
      </w:r>
    </w:p>
    <w:p w14:paraId="65C3B6DA">
      <w:pPr>
        <w:tabs>
          <w:tab w:val="left" w:pos="1110"/>
        </w:tabs>
        <w:spacing w:after="78" w:line="276" w:lineRule="auto"/>
        <w:ind w:firstLine="480" w:firstLineChars="200"/>
        <w:rPr>
          <w:rFonts w:hint="eastAsia" w:ascii="仿宋" w:hAnsi="仿宋" w:eastAsia="仿宋" w:cs="宋体"/>
          <w:color w:val="000000"/>
          <w:sz w:val="24"/>
          <w:szCs w:val="21"/>
        </w:rPr>
      </w:pPr>
    </w:p>
    <w:p w14:paraId="204AA882">
      <w:pPr>
        <w:tabs>
          <w:tab w:val="left" w:pos="1110"/>
        </w:tabs>
        <w:spacing w:after="78" w:line="276" w:lineRule="auto"/>
        <w:ind w:firstLine="480" w:firstLineChars="200"/>
        <w:rPr>
          <w:rFonts w:hint="eastAsia" w:ascii="仿宋" w:hAnsi="仿宋" w:eastAsia="仿宋" w:cs="宋体"/>
          <w:color w:val="000000"/>
          <w:sz w:val="24"/>
          <w:szCs w:val="21"/>
        </w:rPr>
      </w:pPr>
    </w:p>
    <w:p w14:paraId="6B2F3880">
      <w:pPr>
        <w:tabs>
          <w:tab w:val="left" w:pos="1110"/>
        </w:tabs>
        <w:spacing w:after="78" w:line="276" w:lineRule="auto"/>
        <w:ind w:firstLine="480" w:firstLineChars="200"/>
        <w:rPr>
          <w:rFonts w:hint="eastAsia" w:ascii="仿宋" w:hAnsi="仿宋" w:eastAsia="仿宋" w:cs="宋体"/>
          <w:color w:val="000000"/>
          <w:sz w:val="24"/>
          <w:szCs w:val="21"/>
        </w:rPr>
      </w:pPr>
    </w:p>
    <w:p w14:paraId="0D9765F6">
      <w:pPr>
        <w:tabs>
          <w:tab w:val="left" w:pos="1110"/>
        </w:tabs>
        <w:spacing w:after="78" w:line="276" w:lineRule="auto"/>
        <w:ind w:firstLine="480" w:firstLineChars="200"/>
        <w:rPr>
          <w:rFonts w:hint="eastAsia" w:ascii="仿宋" w:hAnsi="仿宋" w:eastAsia="仿宋" w:cs="宋体"/>
          <w:color w:val="000000"/>
          <w:sz w:val="24"/>
          <w:szCs w:val="21"/>
        </w:rPr>
      </w:pPr>
    </w:p>
    <w:p w14:paraId="042F51BB">
      <w:pPr>
        <w:tabs>
          <w:tab w:val="left" w:pos="1110"/>
        </w:tabs>
        <w:spacing w:after="78" w:line="276" w:lineRule="auto"/>
        <w:ind w:firstLine="480" w:firstLineChars="200"/>
        <w:rPr>
          <w:rFonts w:hint="eastAsia" w:ascii="仿宋" w:hAnsi="仿宋" w:eastAsia="仿宋" w:cs="宋体"/>
          <w:color w:val="000000"/>
          <w:sz w:val="24"/>
          <w:szCs w:val="21"/>
        </w:rPr>
      </w:pPr>
    </w:p>
    <w:p w14:paraId="265F31BA">
      <w:pPr>
        <w:tabs>
          <w:tab w:val="left" w:pos="1110"/>
        </w:tabs>
        <w:spacing w:after="78" w:line="276" w:lineRule="auto"/>
        <w:ind w:firstLine="480" w:firstLineChars="200"/>
        <w:rPr>
          <w:rFonts w:hint="eastAsia" w:ascii="仿宋" w:hAnsi="仿宋" w:eastAsia="仿宋" w:cs="宋体"/>
          <w:color w:val="000000"/>
          <w:sz w:val="24"/>
          <w:szCs w:val="21"/>
        </w:rPr>
      </w:pPr>
    </w:p>
    <w:p w14:paraId="2D03684A">
      <w:pPr>
        <w:tabs>
          <w:tab w:val="left" w:pos="1110"/>
        </w:tabs>
        <w:spacing w:after="78" w:line="276" w:lineRule="auto"/>
        <w:ind w:firstLine="480" w:firstLineChars="200"/>
        <w:rPr>
          <w:rFonts w:hint="eastAsia" w:ascii="仿宋" w:hAnsi="仿宋" w:eastAsia="仿宋" w:cs="宋体"/>
          <w:color w:val="000000"/>
          <w:sz w:val="24"/>
          <w:szCs w:val="21"/>
        </w:rPr>
      </w:pPr>
    </w:p>
    <w:p w14:paraId="494FE8E3">
      <w:pPr>
        <w:spacing w:after="78" w:line="276" w:lineRule="auto"/>
        <w:ind w:firstLine="632" w:firstLineChars="300"/>
        <w:rPr>
          <w:rFonts w:hint="eastAsia" w:ascii="仿宋" w:hAnsi="仿宋" w:eastAsia="仿宋"/>
          <w:b/>
          <w:szCs w:val="21"/>
        </w:rPr>
      </w:pPr>
    </w:p>
    <w:p w14:paraId="14A64B89">
      <w:pPr>
        <w:spacing w:after="78" w:line="288" w:lineRule="auto"/>
        <w:rPr>
          <w:rFonts w:hint="eastAsia" w:ascii="仿宋" w:hAnsi="仿宋" w:eastAsia="仿宋"/>
          <w:b/>
          <w:szCs w:val="21"/>
        </w:rPr>
      </w:pPr>
    </w:p>
    <w:p w14:paraId="4AAC8D0D">
      <w:pPr>
        <w:pStyle w:val="60"/>
        <w:keepNext/>
        <w:keepLines/>
        <w:numPr>
          <w:ilvl w:val="0"/>
          <w:numId w:val="7"/>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ascii="仿宋" w:hAnsi="仿宋" w:eastAsia="仿宋"/>
          <w:b/>
          <w:szCs w:val="21"/>
        </w:rPr>
        <w:br w:type="page"/>
      </w:r>
      <w:r>
        <w:rPr>
          <w:rFonts w:hint="eastAsia" w:ascii="仿宋" w:hAnsi="仿宋" w:eastAsia="仿宋"/>
          <w:b/>
          <w:bCs/>
          <w:kern w:val="0"/>
          <w:sz w:val="24"/>
        </w:rPr>
        <w:t>危险废物收集服务项目报价一览表</w:t>
      </w:r>
    </w:p>
    <w:p w14:paraId="58AC1419">
      <w:pPr>
        <w:pStyle w:val="9"/>
        <w:jc w:val="center"/>
        <w:rPr>
          <w:rFonts w:hint="eastAsia" w:ascii="仿宋" w:hAnsi="仿宋" w:eastAsia="仿宋"/>
          <w:sz w:val="22"/>
          <w:szCs w:val="28"/>
        </w:rPr>
      </w:pPr>
    </w:p>
    <w:tbl>
      <w:tblPr>
        <w:tblStyle w:val="22"/>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6"/>
        <w:gridCol w:w="1352"/>
        <w:gridCol w:w="1207"/>
        <w:gridCol w:w="1370"/>
        <w:gridCol w:w="132"/>
        <w:gridCol w:w="933"/>
        <w:gridCol w:w="1352"/>
        <w:gridCol w:w="1211"/>
        <w:gridCol w:w="1004"/>
      </w:tblGrid>
      <w:tr w14:paraId="4B669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186" w:type="dxa"/>
            <w:vAlign w:val="center"/>
          </w:tcPr>
          <w:p w14:paraId="5C8BDDE5">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8561" w:type="dxa"/>
            <w:gridSpan w:val="8"/>
            <w:vAlign w:val="center"/>
          </w:tcPr>
          <w:p w14:paraId="7CCC79B9">
            <w:pPr>
              <w:spacing w:afterLines="0" w:line="300" w:lineRule="exact"/>
              <w:jc w:val="center"/>
              <w:rPr>
                <w:rFonts w:hint="eastAsia" w:ascii="仿宋" w:hAnsi="仿宋" w:eastAsia="仿宋"/>
                <w:b/>
                <w:szCs w:val="21"/>
              </w:rPr>
            </w:pPr>
            <w:r>
              <w:rPr>
                <w:rFonts w:hint="eastAsia" w:ascii="仿宋" w:hAnsi="仿宋" w:eastAsia="仿宋"/>
                <w:b/>
                <w:szCs w:val="21"/>
              </w:rPr>
              <w:t>危险废物收集服务项目</w:t>
            </w:r>
          </w:p>
        </w:tc>
      </w:tr>
      <w:tr w14:paraId="39A67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6" w:type="dxa"/>
            <w:vMerge w:val="restart"/>
            <w:vAlign w:val="center"/>
          </w:tcPr>
          <w:p w14:paraId="3AE4FEFF">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3929" w:type="dxa"/>
            <w:gridSpan w:val="3"/>
            <w:vMerge w:val="restart"/>
            <w:vAlign w:val="center"/>
          </w:tcPr>
          <w:p w14:paraId="7E174EE8">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深圳市佳耀生态环保科技有限公司东莞分公司</w:t>
            </w:r>
          </w:p>
        </w:tc>
        <w:tc>
          <w:tcPr>
            <w:tcW w:w="1065" w:type="dxa"/>
            <w:gridSpan w:val="2"/>
            <w:vAlign w:val="center"/>
          </w:tcPr>
          <w:p w14:paraId="5F3B050D">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3567" w:type="dxa"/>
            <w:gridSpan w:val="3"/>
          </w:tcPr>
          <w:p w14:paraId="763DBDC7">
            <w:pPr>
              <w:spacing w:afterLines="0"/>
              <w:jc w:val="center"/>
              <w:rPr>
                <w:rFonts w:hint="eastAsia" w:ascii="仿宋" w:hAnsi="仿宋" w:eastAsia="仿宋"/>
                <w:szCs w:val="21"/>
              </w:rPr>
            </w:pPr>
          </w:p>
        </w:tc>
      </w:tr>
      <w:tr w14:paraId="208A0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186" w:type="dxa"/>
            <w:vMerge w:val="continue"/>
            <w:vAlign w:val="center"/>
          </w:tcPr>
          <w:p w14:paraId="423E6FEC">
            <w:pPr>
              <w:spacing w:afterLines="0" w:line="300" w:lineRule="exact"/>
              <w:jc w:val="center"/>
              <w:rPr>
                <w:rFonts w:hint="eastAsia" w:ascii="仿宋" w:hAnsi="仿宋" w:eastAsia="仿宋"/>
                <w:szCs w:val="21"/>
              </w:rPr>
            </w:pPr>
          </w:p>
        </w:tc>
        <w:tc>
          <w:tcPr>
            <w:tcW w:w="3929" w:type="dxa"/>
            <w:gridSpan w:val="3"/>
            <w:vMerge w:val="continue"/>
            <w:vAlign w:val="center"/>
          </w:tcPr>
          <w:p w14:paraId="70588699">
            <w:pPr>
              <w:spacing w:afterLines="0" w:line="300" w:lineRule="exact"/>
              <w:jc w:val="center"/>
              <w:rPr>
                <w:rFonts w:hint="eastAsia" w:ascii="仿宋" w:hAnsi="仿宋" w:eastAsia="仿宋"/>
                <w:szCs w:val="21"/>
              </w:rPr>
            </w:pPr>
          </w:p>
        </w:tc>
        <w:tc>
          <w:tcPr>
            <w:tcW w:w="1065" w:type="dxa"/>
            <w:gridSpan w:val="2"/>
            <w:vAlign w:val="center"/>
          </w:tcPr>
          <w:p w14:paraId="0F30A1EF">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3567" w:type="dxa"/>
            <w:gridSpan w:val="3"/>
          </w:tcPr>
          <w:p w14:paraId="57C0F529">
            <w:pPr>
              <w:spacing w:afterLines="0"/>
              <w:jc w:val="center"/>
              <w:rPr>
                <w:rFonts w:hint="eastAsia" w:ascii="仿宋" w:hAnsi="仿宋" w:eastAsia="仿宋"/>
                <w:szCs w:val="21"/>
              </w:rPr>
            </w:pPr>
          </w:p>
        </w:tc>
      </w:tr>
      <w:tr w14:paraId="1129D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186" w:type="dxa"/>
            <w:vAlign w:val="center"/>
          </w:tcPr>
          <w:p w14:paraId="6B38690B">
            <w:pPr>
              <w:spacing w:afterLines="0" w:line="300" w:lineRule="exact"/>
              <w:jc w:val="center"/>
              <w:rPr>
                <w:rFonts w:hint="eastAsia" w:ascii="仿宋" w:hAnsi="仿宋" w:eastAsia="仿宋"/>
                <w:szCs w:val="21"/>
              </w:rPr>
            </w:pPr>
            <w:r>
              <w:rPr>
                <w:rFonts w:hint="eastAsia" w:ascii="仿宋" w:hAnsi="仿宋" w:eastAsia="仿宋"/>
                <w:szCs w:val="21"/>
              </w:rPr>
              <w:t>收运地址</w:t>
            </w:r>
          </w:p>
        </w:tc>
        <w:tc>
          <w:tcPr>
            <w:tcW w:w="3929" w:type="dxa"/>
            <w:gridSpan w:val="3"/>
            <w:vAlign w:val="center"/>
          </w:tcPr>
          <w:p w14:paraId="6E22A941">
            <w:pPr>
              <w:spacing w:afterLines="0" w:line="300" w:lineRule="exact"/>
              <w:jc w:val="center"/>
              <w:rPr>
                <w:rFonts w:hint="eastAsia" w:ascii="仿宋" w:hAnsi="仿宋" w:eastAsia="仿宋"/>
                <w:szCs w:val="21"/>
              </w:rPr>
            </w:pPr>
            <w:r>
              <w:rPr>
                <w:rFonts w:hint="eastAsia" w:ascii="仿宋" w:hAnsi="仿宋" w:eastAsia="仿宋"/>
                <w:szCs w:val="21"/>
              </w:rPr>
              <w:t>广东省东莞市中堂镇北王路中堂段9号7栋103室</w:t>
            </w:r>
          </w:p>
        </w:tc>
        <w:tc>
          <w:tcPr>
            <w:tcW w:w="1065" w:type="dxa"/>
            <w:gridSpan w:val="2"/>
            <w:vAlign w:val="center"/>
          </w:tcPr>
          <w:p w14:paraId="42C40FEF">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3567" w:type="dxa"/>
            <w:gridSpan w:val="3"/>
          </w:tcPr>
          <w:p w14:paraId="76A41E42">
            <w:pPr>
              <w:spacing w:afterLines="0"/>
              <w:jc w:val="center"/>
              <w:rPr>
                <w:rFonts w:hint="eastAsia" w:ascii="仿宋" w:hAnsi="仿宋" w:eastAsia="仿宋"/>
                <w:szCs w:val="21"/>
              </w:rPr>
            </w:pPr>
          </w:p>
        </w:tc>
      </w:tr>
      <w:tr w14:paraId="6414E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7" w:type="dxa"/>
            <w:gridSpan w:val="9"/>
            <w:vAlign w:val="center"/>
          </w:tcPr>
          <w:p w14:paraId="0C9FA8A1">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4CBB1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86" w:type="dxa"/>
            <w:vAlign w:val="center"/>
          </w:tcPr>
          <w:p w14:paraId="10137B39">
            <w:pPr>
              <w:spacing w:afterLines="0" w:line="440" w:lineRule="exact"/>
              <w:jc w:val="center"/>
              <w:rPr>
                <w:rFonts w:hint="eastAsia" w:ascii="仿宋" w:hAnsi="仿宋" w:eastAsia="仿宋"/>
                <w:b/>
                <w:szCs w:val="21"/>
              </w:rPr>
            </w:pPr>
            <w:r>
              <w:rPr>
                <w:rFonts w:ascii="仿宋" w:hAnsi="仿宋" w:eastAsia="仿宋"/>
                <w:b/>
                <w:szCs w:val="21"/>
              </w:rPr>
              <w:t>序号</w:t>
            </w:r>
          </w:p>
        </w:tc>
        <w:tc>
          <w:tcPr>
            <w:tcW w:w="1352" w:type="dxa"/>
            <w:vAlign w:val="center"/>
          </w:tcPr>
          <w:p w14:paraId="566AFB0B">
            <w:pPr>
              <w:spacing w:afterLines="0" w:line="440" w:lineRule="exact"/>
              <w:jc w:val="center"/>
              <w:rPr>
                <w:rFonts w:hint="eastAsia" w:ascii="仿宋" w:hAnsi="仿宋" w:eastAsia="仿宋"/>
                <w:b/>
                <w:szCs w:val="21"/>
              </w:rPr>
            </w:pPr>
            <w:r>
              <w:rPr>
                <w:rFonts w:hint="eastAsia" w:ascii="仿宋" w:hAnsi="仿宋" w:eastAsia="仿宋"/>
                <w:b/>
                <w:szCs w:val="21"/>
              </w:rPr>
              <w:t>*废物名称</w:t>
            </w:r>
          </w:p>
        </w:tc>
        <w:tc>
          <w:tcPr>
            <w:tcW w:w="1207" w:type="dxa"/>
            <w:vAlign w:val="center"/>
          </w:tcPr>
          <w:p w14:paraId="612DBDD2">
            <w:pPr>
              <w:spacing w:afterLines="0" w:line="440" w:lineRule="exact"/>
              <w:jc w:val="center"/>
              <w:rPr>
                <w:rFonts w:hint="eastAsia" w:ascii="仿宋" w:hAnsi="仿宋" w:eastAsia="仿宋"/>
                <w:b/>
                <w:szCs w:val="21"/>
              </w:rPr>
            </w:pPr>
            <w:r>
              <w:rPr>
                <w:rFonts w:hint="eastAsia" w:ascii="仿宋" w:hAnsi="仿宋" w:eastAsia="仿宋"/>
                <w:b/>
                <w:szCs w:val="21"/>
              </w:rPr>
              <w:t>*废物类别</w:t>
            </w:r>
          </w:p>
        </w:tc>
        <w:tc>
          <w:tcPr>
            <w:tcW w:w="1370" w:type="dxa"/>
            <w:vAlign w:val="center"/>
          </w:tcPr>
          <w:p w14:paraId="32D7FF8D">
            <w:pPr>
              <w:spacing w:afterLines="0" w:line="440" w:lineRule="exact"/>
              <w:jc w:val="center"/>
              <w:rPr>
                <w:rFonts w:hint="eastAsia" w:ascii="仿宋" w:hAnsi="仿宋" w:eastAsia="仿宋"/>
                <w:b/>
                <w:szCs w:val="21"/>
              </w:rPr>
            </w:pPr>
            <w:r>
              <w:rPr>
                <w:rFonts w:hint="eastAsia" w:ascii="仿宋" w:hAnsi="仿宋" w:eastAsia="仿宋"/>
                <w:b/>
                <w:szCs w:val="21"/>
              </w:rPr>
              <w:t>废物代码</w:t>
            </w:r>
          </w:p>
        </w:tc>
        <w:tc>
          <w:tcPr>
            <w:tcW w:w="1065" w:type="dxa"/>
            <w:gridSpan w:val="2"/>
            <w:vAlign w:val="center"/>
          </w:tcPr>
          <w:p w14:paraId="23738B08">
            <w:pPr>
              <w:spacing w:afterLines="0" w:line="440" w:lineRule="exact"/>
              <w:rPr>
                <w:rFonts w:hint="eastAsia" w:ascii="仿宋" w:hAnsi="仿宋" w:eastAsia="仿宋"/>
                <w:b/>
                <w:szCs w:val="21"/>
              </w:rPr>
            </w:pPr>
            <w:r>
              <w:rPr>
                <w:rFonts w:hint="eastAsia" w:ascii="仿宋" w:hAnsi="仿宋" w:eastAsia="仿宋"/>
                <w:b/>
                <w:szCs w:val="21"/>
              </w:rPr>
              <w:t>包装方式</w:t>
            </w:r>
          </w:p>
        </w:tc>
        <w:tc>
          <w:tcPr>
            <w:tcW w:w="1352" w:type="dxa"/>
            <w:vAlign w:val="center"/>
          </w:tcPr>
          <w:p w14:paraId="22A97E56">
            <w:pPr>
              <w:spacing w:afterLines="0" w:line="440" w:lineRule="exact"/>
              <w:jc w:val="center"/>
              <w:rPr>
                <w:rFonts w:hint="eastAsia" w:ascii="仿宋" w:hAnsi="仿宋" w:eastAsia="仿宋"/>
                <w:b/>
                <w:szCs w:val="21"/>
              </w:rPr>
            </w:pPr>
            <w:r>
              <w:rPr>
                <w:rFonts w:hint="eastAsia" w:ascii="仿宋" w:hAnsi="仿宋" w:eastAsia="仿宋"/>
                <w:b/>
                <w:szCs w:val="21"/>
              </w:rPr>
              <w:t>*数量（吨/年）</w:t>
            </w:r>
          </w:p>
        </w:tc>
        <w:tc>
          <w:tcPr>
            <w:tcW w:w="1211" w:type="dxa"/>
            <w:vAlign w:val="center"/>
          </w:tcPr>
          <w:p w14:paraId="5B606735">
            <w:pPr>
              <w:spacing w:afterLines="0" w:line="440" w:lineRule="exact"/>
              <w:jc w:val="center"/>
              <w:rPr>
                <w:rFonts w:hint="eastAsia" w:ascii="仿宋" w:hAnsi="仿宋" w:eastAsia="仿宋"/>
                <w:b/>
                <w:szCs w:val="21"/>
              </w:rPr>
            </w:pPr>
            <w:r>
              <w:rPr>
                <w:rFonts w:hint="eastAsia" w:ascii="仿宋" w:hAnsi="仿宋" w:eastAsia="仿宋"/>
                <w:b/>
                <w:szCs w:val="21"/>
              </w:rPr>
              <w:t>*处理费用（元/年）</w:t>
            </w:r>
          </w:p>
        </w:tc>
        <w:tc>
          <w:tcPr>
            <w:tcW w:w="1004" w:type="dxa"/>
            <w:vAlign w:val="center"/>
          </w:tcPr>
          <w:p w14:paraId="1C643E6A">
            <w:pPr>
              <w:spacing w:afterLines="0" w:line="440" w:lineRule="exact"/>
              <w:jc w:val="center"/>
              <w:rPr>
                <w:rFonts w:hint="eastAsia" w:ascii="仿宋" w:hAnsi="仿宋" w:eastAsia="仿宋"/>
                <w:b/>
                <w:szCs w:val="21"/>
              </w:rPr>
            </w:pPr>
            <w:r>
              <w:rPr>
                <w:rFonts w:ascii="仿宋" w:hAnsi="仿宋" w:eastAsia="仿宋"/>
                <w:b/>
                <w:szCs w:val="21"/>
              </w:rPr>
              <w:t>备注</w:t>
            </w:r>
          </w:p>
        </w:tc>
      </w:tr>
      <w:tr w14:paraId="54E04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1186" w:type="dxa"/>
            <w:vAlign w:val="center"/>
          </w:tcPr>
          <w:p w14:paraId="40E2A795">
            <w:pPr>
              <w:pStyle w:val="57"/>
              <w:spacing w:afterLines="0" w:line="300" w:lineRule="exact"/>
              <w:ind w:firstLine="0" w:firstLineChars="0"/>
              <w:jc w:val="center"/>
              <w:rPr>
                <w:rFonts w:hint="eastAsia" w:ascii="仿宋" w:hAnsi="仿宋" w:eastAsia="仿宋"/>
                <w:szCs w:val="21"/>
              </w:rPr>
            </w:pPr>
            <w:r>
              <w:rPr>
                <w:rFonts w:hint="eastAsia" w:ascii="仿宋" w:hAnsi="仿宋" w:eastAsia="仿宋"/>
                <w:szCs w:val="21"/>
              </w:rPr>
              <w:t>1</w:t>
            </w:r>
          </w:p>
        </w:tc>
        <w:tc>
          <w:tcPr>
            <w:tcW w:w="1352" w:type="dxa"/>
            <w:vAlign w:val="center"/>
          </w:tcPr>
          <w:p w14:paraId="5243D093">
            <w:pPr>
              <w:pStyle w:val="70"/>
              <w:spacing w:before="162" w:after="78" w:line="220" w:lineRule="auto"/>
              <w:jc w:val="left"/>
              <w:rPr>
                <w:rFonts w:hint="eastAsia" w:ascii="仿宋" w:hAnsi="仿宋" w:eastAsia="仿宋" w:cs="Times New Roman"/>
                <w:sz w:val="21"/>
                <w:szCs w:val="21"/>
                <w:lang w:eastAsia="zh-CN"/>
              </w:rPr>
            </w:pPr>
            <w:r>
              <w:rPr>
                <w:rFonts w:hint="eastAsia" w:ascii="仿宋" w:hAnsi="仿宋" w:eastAsia="仿宋" w:cs="Times New Roman"/>
                <w:sz w:val="21"/>
                <w:szCs w:val="21"/>
                <w:lang w:eastAsia="zh-CN"/>
              </w:rPr>
              <w:t>废活性炭</w:t>
            </w:r>
          </w:p>
        </w:tc>
        <w:tc>
          <w:tcPr>
            <w:tcW w:w="1207" w:type="dxa"/>
            <w:vAlign w:val="center"/>
          </w:tcPr>
          <w:p w14:paraId="0EA58241">
            <w:pPr>
              <w:pStyle w:val="70"/>
              <w:spacing w:before="223" w:after="78" w:line="183" w:lineRule="auto"/>
              <w:jc w:val="center"/>
              <w:rPr>
                <w:rFonts w:hint="eastAsia" w:ascii="仿宋" w:hAnsi="仿宋" w:eastAsia="仿宋" w:cs="Times New Roman"/>
                <w:sz w:val="21"/>
                <w:szCs w:val="21"/>
                <w:lang w:eastAsia="zh-CN"/>
              </w:rPr>
            </w:pPr>
            <w:r>
              <w:rPr>
                <w:rFonts w:hint="eastAsia" w:ascii="仿宋" w:hAnsi="仿宋" w:eastAsia="仿宋" w:cs="Times New Roman"/>
                <w:sz w:val="21"/>
                <w:szCs w:val="21"/>
                <w:lang w:eastAsia="zh-CN"/>
              </w:rPr>
              <w:t>HW49</w:t>
            </w:r>
          </w:p>
        </w:tc>
        <w:tc>
          <w:tcPr>
            <w:tcW w:w="1370" w:type="dxa"/>
            <w:vAlign w:val="center"/>
          </w:tcPr>
          <w:p w14:paraId="7E82ABD6">
            <w:pPr>
              <w:pStyle w:val="70"/>
              <w:spacing w:before="223" w:after="78" w:line="183" w:lineRule="auto"/>
              <w:ind w:left="104"/>
              <w:jc w:val="center"/>
              <w:rPr>
                <w:rFonts w:hint="eastAsia" w:ascii="仿宋" w:hAnsi="仿宋" w:eastAsia="仿宋" w:cs="Times New Roman"/>
                <w:sz w:val="21"/>
                <w:szCs w:val="21"/>
                <w:lang w:eastAsia="zh-CN"/>
              </w:rPr>
            </w:pPr>
            <w:r>
              <w:rPr>
                <w:rFonts w:hint="eastAsia" w:ascii="仿宋" w:hAnsi="仿宋" w:eastAsia="仿宋" w:cs="Times New Roman"/>
                <w:sz w:val="21"/>
                <w:szCs w:val="21"/>
                <w:lang w:eastAsia="zh-CN"/>
              </w:rPr>
              <w:t>900-039-49</w:t>
            </w:r>
          </w:p>
        </w:tc>
        <w:tc>
          <w:tcPr>
            <w:tcW w:w="1065" w:type="dxa"/>
            <w:gridSpan w:val="2"/>
            <w:vAlign w:val="center"/>
          </w:tcPr>
          <w:p w14:paraId="760721BB">
            <w:pPr>
              <w:spacing w:afterLines="0" w:line="440" w:lineRule="exact"/>
              <w:jc w:val="center"/>
              <w:rPr>
                <w:rFonts w:hint="eastAsia" w:ascii="仿宋" w:hAnsi="仿宋" w:eastAsia="仿宋"/>
                <w:szCs w:val="21"/>
              </w:rPr>
            </w:pPr>
            <w:r>
              <w:rPr>
                <w:rFonts w:hint="eastAsia" w:ascii="仿宋" w:hAnsi="仿宋" w:eastAsia="仿宋"/>
                <w:szCs w:val="21"/>
              </w:rPr>
              <w:t>袋装</w:t>
            </w:r>
          </w:p>
        </w:tc>
        <w:tc>
          <w:tcPr>
            <w:tcW w:w="1352" w:type="dxa"/>
            <w:vAlign w:val="center"/>
          </w:tcPr>
          <w:p w14:paraId="0AA5FFD8">
            <w:pPr>
              <w:spacing w:afterLines="0" w:line="440" w:lineRule="exact"/>
              <w:jc w:val="center"/>
              <w:rPr>
                <w:rFonts w:hint="eastAsia" w:ascii="仿宋" w:hAnsi="仿宋" w:eastAsia="仿宋"/>
                <w:szCs w:val="21"/>
              </w:rPr>
            </w:pPr>
            <w:r>
              <w:rPr>
                <w:rFonts w:hint="eastAsia" w:ascii="仿宋" w:hAnsi="仿宋" w:eastAsia="仿宋"/>
                <w:szCs w:val="21"/>
              </w:rPr>
              <w:t>1.5</w:t>
            </w:r>
          </w:p>
        </w:tc>
        <w:tc>
          <w:tcPr>
            <w:tcW w:w="1211" w:type="dxa"/>
            <w:vAlign w:val="center"/>
          </w:tcPr>
          <w:p w14:paraId="1D54AD28">
            <w:pPr>
              <w:spacing w:afterLines="0" w:line="440" w:lineRule="exact"/>
              <w:jc w:val="center"/>
              <w:rPr>
                <w:rFonts w:hint="eastAsia" w:ascii="仿宋" w:hAnsi="仿宋" w:eastAsia="仿宋"/>
                <w:szCs w:val="21"/>
              </w:rPr>
            </w:pPr>
          </w:p>
        </w:tc>
        <w:tc>
          <w:tcPr>
            <w:tcW w:w="1004" w:type="dxa"/>
            <w:vAlign w:val="center"/>
          </w:tcPr>
          <w:p w14:paraId="54838709">
            <w:pPr>
              <w:spacing w:afterLines="0" w:line="440" w:lineRule="exact"/>
              <w:jc w:val="center"/>
              <w:rPr>
                <w:rFonts w:hint="eastAsia" w:ascii="仿宋" w:hAnsi="仿宋" w:eastAsia="仿宋"/>
                <w:szCs w:val="21"/>
              </w:rPr>
            </w:pPr>
          </w:p>
        </w:tc>
      </w:tr>
      <w:tr w14:paraId="18854D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1186" w:type="dxa"/>
            <w:vAlign w:val="center"/>
          </w:tcPr>
          <w:p w14:paraId="3E9A02C6">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3929" w:type="dxa"/>
            <w:gridSpan w:val="3"/>
            <w:vAlign w:val="center"/>
          </w:tcPr>
          <w:p w14:paraId="356943D1">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1065" w:type="dxa"/>
            <w:gridSpan w:val="2"/>
            <w:vAlign w:val="center"/>
          </w:tcPr>
          <w:p w14:paraId="225B7342">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3567" w:type="dxa"/>
            <w:gridSpan w:val="3"/>
            <w:vAlign w:val="center"/>
          </w:tcPr>
          <w:p w14:paraId="296165A6">
            <w:pPr>
              <w:spacing w:afterLines="0" w:line="300" w:lineRule="exact"/>
              <w:jc w:val="center"/>
              <w:rPr>
                <w:rFonts w:hint="eastAsia" w:ascii="仿宋" w:hAnsi="仿宋" w:eastAsia="仿宋"/>
                <w:szCs w:val="21"/>
              </w:rPr>
            </w:pPr>
          </w:p>
        </w:tc>
      </w:tr>
      <w:tr w14:paraId="7AA3D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186" w:type="dxa"/>
            <w:vAlign w:val="center"/>
          </w:tcPr>
          <w:p w14:paraId="4CF70F75">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8561" w:type="dxa"/>
            <w:gridSpan w:val="8"/>
            <w:vAlign w:val="center"/>
          </w:tcPr>
          <w:p w14:paraId="3D18C755">
            <w:pPr>
              <w:spacing w:afterLines="0" w:line="300" w:lineRule="exact"/>
              <w:jc w:val="left"/>
              <w:rPr>
                <w:rFonts w:hint="eastAsia" w:ascii="仿宋" w:hAnsi="仿宋" w:eastAsia="仿宋"/>
                <w:szCs w:val="21"/>
              </w:rPr>
            </w:pPr>
            <w:r>
              <w:rPr>
                <w:rFonts w:hint="eastAsia" w:ascii="仿宋" w:hAnsi="仿宋" w:eastAsia="仿宋"/>
                <w:szCs w:val="21"/>
              </w:rPr>
              <w:t>按双方确认报价单内容结算，合同签订后，应乙方开具付款申请表、发票等付款材料给甲方，甲方收到付款材料后以银行汇款转账或现金形式支付该款项。</w:t>
            </w:r>
          </w:p>
        </w:tc>
      </w:tr>
      <w:tr w14:paraId="5408E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186" w:type="dxa"/>
            <w:vAlign w:val="center"/>
          </w:tcPr>
          <w:p w14:paraId="7B0EAD69">
            <w:pPr>
              <w:spacing w:afterLines="0" w:line="300" w:lineRule="exact"/>
              <w:jc w:val="center"/>
              <w:rPr>
                <w:rFonts w:hint="eastAsia" w:ascii="仿宋" w:hAnsi="仿宋" w:eastAsia="仿宋"/>
                <w:szCs w:val="21"/>
              </w:rPr>
            </w:pPr>
            <w:r>
              <w:rPr>
                <w:rFonts w:hint="eastAsia" w:ascii="仿宋" w:hAnsi="仿宋" w:eastAsia="仿宋"/>
                <w:szCs w:val="21"/>
              </w:rPr>
              <w:t>报价有效期</w:t>
            </w:r>
          </w:p>
        </w:tc>
        <w:tc>
          <w:tcPr>
            <w:tcW w:w="4061" w:type="dxa"/>
            <w:gridSpan w:val="4"/>
            <w:vAlign w:val="center"/>
          </w:tcPr>
          <w:p w14:paraId="7D1F908C">
            <w:pPr>
              <w:spacing w:afterLines="0" w:line="300" w:lineRule="exact"/>
              <w:jc w:val="left"/>
              <w:rPr>
                <w:rFonts w:hint="eastAsia" w:ascii="仿宋" w:hAnsi="仿宋" w:eastAsia="仿宋"/>
                <w:szCs w:val="21"/>
              </w:rPr>
            </w:pPr>
          </w:p>
        </w:tc>
        <w:tc>
          <w:tcPr>
            <w:tcW w:w="933" w:type="dxa"/>
            <w:vAlign w:val="center"/>
          </w:tcPr>
          <w:p w14:paraId="3EF9515B">
            <w:pPr>
              <w:spacing w:afterLines="0" w:line="300" w:lineRule="exact"/>
              <w:jc w:val="left"/>
              <w:rPr>
                <w:rFonts w:hint="eastAsia" w:ascii="仿宋" w:hAnsi="仿宋" w:eastAsia="仿宋"/>
                <w:szCs w:val="21"/>
              </w:rPr>
            </w:pPr>
            <w:r>
              <w:rPr>
                <w:rFonts w:hint="eastAsia" w:ascii="仿宋" w:hAnsi="仿宋" w:eastAsia="仿宋"/>
                <w:szCs w:val="21"/>
              </w:rPr>
              <w:t>质保期</w:t>
            </w:r>
          </w:p>
        </w:tc>
        <w:tc>
          <w:tcPr>
            <w:tcW w:w="3567" w:type="dxa"/>
            <w:gridSpan w:val="3"/>
            <w:vAlign w:val="center"/>
          </w:tcPr>
          <w:p w14:paraId="7DB2EBB1">
            <w:pPr>
              <w:spacing w:afterLines="0" w:line="300" w:lineRule="exact"/>
              <w:jc w:val="left"/>
              <w:rPr>
                <w:rFonts w:hint="eastAsia" w:ascii="仿宋" w:hAnsi="仿宋" w:eastAsia="仿宋"/>
                <w:szCs w:val="21"/>
              </w:rPr>
            </w:pPr>
          </w:p>
        </w:tc>
      </w:tr>
      <w:tr w14:paraId="10982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1186" w:type="dxa"/>
            <w:vAlign w:val="center"/>
          </w:tcPr>
          <w:p w14:paraId="7530EDFC">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4061" w:type="dxa"/>
            <w:gridSpan w:val="4"/>
            <w:vAlign w:val="center"/>
          </w:tcPr>
          <w:p w14:paraId="7126C1B3">
            <w:pPr>
              <w:spacing w:afterLines="0" w:line="300" w:lineRule="exact"/>
              <w:jc w:val="left"/>
              <w:rPr>
                <w:rFonts w:hint="eastAsia" w:ascii="仿宋" w:hAnsi="仿宋" w:eastAsia="仿宋"/>
                <w:szCs w:val="21"/>
              </w:rPr>
            </w:pPr>
            <w:r>
              <w:rPr>
                <w:rFonts w:hint="eastAsia" w:ascii="仿宋" w:hAnsi="仿宋" w:eastAsia="仿宋"/>
                <w:szCs w:val="21"/>
              </w:rPr>
              <w:t>1年</w:t>
            </w:r>
          </w:p>
        </w:tc>
        <w:tc>
          <w:tcPr>
            <w:tcW w:w="933" w:type="dxa"/>
            <w:vAlign w:val="center"/>
          </w:tcPr>
          <w:p w14:paraId="76E1D241">
            <w:pPr>
              <w:spacing w:afterLines="0" w:line="300" w:lineRule="exact"/>
              <w:jc w:val="left"/>
              <w:rPr>
                <w:rFonts w:hint="eastAsia" w:ascii="仿宋" w:hAnsi="仿宋" w:eastAsia="仿宋"/>
                <w:szCs w:val="21"/>
              </w:rPr>
            </w:pPr>
            <w:r>
              <w:rPr>
                <w:rFonts w:hint="eastAsia" w:ascii="仿宋" w:hAnsi="仿宋" w:eastAsia="仿宋"/>
                <w:szCs w:val="21"/>
              </w:rPr>
              <w:t>其他</w:t>
            </w:r>
          </w:p>
        </w:tc>
        <w:tc>
          <w:tcPr>
            <w:tcW w:w="3567" w:type="dxa"/>
            <w:gridSpan w:val="3"/>
            <w:vAlign w:val="center"/>
          </w:tcPr>
          <w:p w14:paraId="504C0CE9">
            <w:pPr>
              <w:spacing w:afterLines="0" w:line="300" w:lineRule="exact"/>
              <w:jc w:val="left"/>
              <w:rPr>
                <w:rFonts w:hint="eastAsia" w:ascii="仿宋" w:hAnsi="仿宋" w:eastAsia="仿宋"/>
                <w:szCs w:val="21"/>
              </w:rPr>
            </w:pPr>
          </w:p>
        </w:tc>
      </w:tr>
      <w:tr w14:paraId="5F17E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3" w:hRule="atLeast"/>
          <w:jc w:val="center"/>
        </w:trPr>
        <w:tc>
          <w:tcPr>
            <w:tcW w:w="9747" w:type="dxa"/>
            <w:gridSpan w:val="9"/>
            <w:vAlign w:val="center"/>
          </w:tcPr>
          <w:p w14:paraId="37F1FD68">
            <w:pPr>
              <w:spacing w:afterLines="0" w:line="300" w:lineRule="exact"/>
              <w:jc w:val="left"/>
              <w:rPr>
                <w:rFonts w:hint="eastAsia" w:ascii="仿宋" w:hAnsi="仿宋" w:eastAsia="仿宋"/>
                <w:szCs w:val="21"/>
              </w:rPr>
            </w:pPr>
            <w:r>
              <w:rPr>
                <w:rFonts w:hint="eastAsia" w:ascii="仿宋" w:hAnsi="仿宋" w:eastAsia="仿宋"/>
                <w:szCs w:val="21"/>
              </w:rPr>
              <w:t>1、以上为</w:t>
            </w:r>
            <w:r>
              <w:rPr>
                <w:rFonts w:hint="eastAsia" w:ascii="仿宋" w:hAnsi="仿宋" w:eastAsia="仿宋"/>
                <w:sz w:val="22"/>
                <w:szCs w:val="28"/>
              </w:rPr>
              <w:t>参考报价格式，可自行修改；</w:t>
            </w:r>
            <w:r>
              <w:rPr>
                <w:rFonts w:hint="eastAsia" w:ascii="仿宋" w:hAnsi="仿宋" w:eastAsia="仿宋"/>
                <w:szCs w:val="21"/>
              </w:rPr>
              <w:t>如使用本报价单模板，标“*”为必填项;</w:t>
            </w:r>
          </w:p>
          <w:p w14:paraId="5993625C">
            <w:pPr>
              <w:spacing w:afterLines="0" w:line="300" w:lineRule="exact"/>
              <w:jc w:val="left"/>
              <w:rPr>
                <w:rFonts w:hint="eastAsia" w:ascii="仿宋" w:hAnsi="仿宋" w:eastAsia="仿宋"/>
                <w:szCs w:val="21"/>
              </w:rPr>
            </w:pPr>
            <w:r>
              <w:rPr>
                <w:rFonts w:hint="eastAsia" w:ascii="仿宋" w:hAnsi="仿宋" w:eastAsia="仿宋"/>
                <w:szCs w:val="21"/>
              </w:rPr>
              <w:t>2、本项目的报价为包年服务费，包含但不限于合同约定的危险废物处理处置的费用、取样检测分析、6%增值税费、危险废物处置方案提供及危险废物的运输及处置等全部费用。;</w:t>
            </w:r>
          </w:p>
          <w:p w14:paraId="5FE9E69D">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3、本采购项目以不含税价进行对比，参选单位需填报含税价及税率；合同不含税总价计算有误的，以不含税单价报价为准。</w:t>
            </w:r>
          </w:p>
          <w:p w14:paraId="2B40EBA7">
            <w:pPr>
              <w:spacing w:afterLines="0" w:line="300" w:lineRule="exact"/>
              <w:jc w:val="left"/>
              <w:rPr>
                <w:rFonts w:hint="eastAsia" w:ascii="仿宋" w:hAnsi="仿宋" w:eastAsia="仿宋"/>
                <w:b/>
                <w:bCs/>
                <w:szCs w:val="21"/>
              </w:rPr>
            </w:pPr>
            <w:r>
              <w:rPr>
                <w:rFonts w:hint="eastAsia" w:ascii="仿宋" w:hAnsi="仿宋" w:eastAsia="仿宋"/>
                <w:b/>
                <w:bCs/>
                <w:szCs w:val="21"/>
              </w:rPr>
              <w:t>4.合同含税价计算方式:合同不含税价=含税价/(1+税率)；</w:t>
            </w:r>
          </w:p>
          <w:p w14:paraId="2C554A80">
            <w:pPr>
              <w:spacing w:afterLines="0" w:line="300" w:lineRule="exact"/>
              <w:jc w:val="left"/>
            </w:pPr>
            <w:r>
              <w:rPr>
                <w:rFonts w:hint="eastAsia" w:ascii="仿宋" w:hAnsi="仿宋" w:eastAsia="仿宋"/>
                <w:szCs w:val="21"/>
              </w:rPr>
              <w:t>5、以上报价为最终报价，无现场议价，报价人参与报价即视为已知悉并接受该情况。</w:t>
            </w:r>
          </w:p>
        </w:tc>
      </w:tr>
    </w:tbl>
    <w:p w14:paraId="3354FF7A">
      <w:pPr>
        <w:snapToGrid w:val="0"/>
        <w:spacing w:afterLines="0" w:line="360" w:lineRule="auto"/>
        <w:rPr>
          <w:rFonts w:hint="eastAsia" w:ascii="仿宋" w:hAnsi="仿宋" w:eastAsia="仿宋" w:cs="Arial"/>
        </w:rPr>
      </w:pPr>
    </w:p>
    <w:p w14:paraId="5ED9BE0A">
      <w:pPr>
        <w:snapToGrid w:val="0"/>
        <w:spacing w:afterLines="0" w:line="360" w:lineRule="auto"/>
        <w:ind w:firstLine="525" w:firstLineChars="250"/>
        <w:jc w:val="right"/>
        <w:rPr>
          <w:rFonts w:hint="eastAsia" w:ascii="仿宋" w:hAnsi="仿宋" w:eastAsia="仿宋" w:cs="Arial"/>
        </w:rPr>
      </w:pPr>
    </w:p>
    <w:p w14:paraId="625C73DA">
      <w:pPr>
        <w:snapToGrid w:val="0"/>
        <w:spacing w:afterLines="0" w:line="360" w:lineRule="auto"/>
        <w:ind w:firstLine="525" w:firstLineChars="250"/>
        <w:jc w:val="right"/>
        <w:rPr>
          <w:rFonts w:hint="eastAsia" w:ascii="仿宋" w:hAnsi="仿宋" w:eastAsia="仿宋" w:cs="Arial"/>
        </w:rPr>
      </w:pPr>
    </w:p>
    <w:p w14:paraId="0FD55375">
      <w:pPr>
        <w:wordWrap w:val="0"/>
        <w:snapToGrid w:val="0"/>
        <w:spacing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05EF5A24">
      <w:pPr>
        <w:spacing w:after="78" w:line="288" w:lineRule="auto"/>
        <w:jc w:val="right"/>
        <w:rPr>
          <w:rFonts w:hint="eastAsia" w:ascii="仿宋" w:hAnsi="仿宋" w:eastAsia="仿宋"/>
          <w:b/>
          <w:szCs w:val="21"/>
        </w:rPr>
      </w:pPr>
      <w:r>
        <w:rPr>
          <w:rFonts w:hint="eastAsia" w:ascii="仿宋" w:hAnsi="仿宋" w:eastAsia="仿宋" w:cs="Arial"/>
        </w:rPr>
        <w:t xml:space="preserve">时间：    年      月   日   </w:t>
      </w:r>
      <w:r>
        <w:rPr>
          <w:rFonts w:ascii="仿宋" w:hAnsi="仿宋" w:eastAsia="仿宋"/>
          <w:b/>
          <w:szCs w:val="21"/>
        </w:rPr>
        <w:br w:type="page"/>
      </w:r>
    </w:p>
    <w:p w14:paraId="4A61D81E">
      <w:pPr>
        <w:spacing w:after="78" w:line="288" w:lineRule="auto"/>
        <w:rPr>
          <w:rFonts w:hint="eastAsia" w:ascii="仿宋" w:hAnsi="仿宋" w:eastAsia="仿宋"/>
          <w:b/>
          <w:szCs w:val="21"/>
        </w:rPr>
      </w:pPr>
    </w:p>
    <w:p w14:paraId="26ACC3DA">
      <w:pPr>
        <w:pStyle w:val="60"/>
        <w:keepNext/>
        <w:keepLines/>
        <w:numPr>
          <w:ilvl w:val="0"/>
          <w:numId w:val="7"/>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11" w:name="_Toc116850266"/>
      <w:bookmarkStart w:id="12" w:name="_Toc133335897"/>
      <w:r>
        <w:rPr>
          <w:rFonts w:hint="eastAsia" w:ascii="仿宋" w:hAnsi="仿宋" w:eastAsia="仿宋"/>
          <w:b/>
          <w:bCs/>
          <w:kern w:val="0"/>
          <w:sz w:val="24"/>
        </w:rPr>
        <w:t>响应供应商认为有必要提供的其他材料</w:t>
      </w:r>
      <w:bookmarkEnd w:id="11"/>
      <w:bookmarkEnd w:id="12"/>
    </w:p>
    <w:p w14:paraId="4CE24A93">
      <w:pPr>
        <w:spacing w:after="78" w:line="288" w:lineRule="auto"/>
        <w:rPr>
          <w:rFonts w:hint="eastAsia" w:ascii="仿宋" w:hAnsi="仿宋" w:eastAsia="仿宋"/>
          <w:b/>
          <w:szCs w:val="21"/>
        </w:rPr>
      </w:pPr>
    </w:p>
    <w:sectPr>
      <w:headerReference r:id="rId14" w:type="first"/>
      <w:footerReference r:id="rId17" w:type="first"/>
      <w:headerReference r:id="rId12" w:type="default"/>
      <w:footerReference r:id="rId15" w:type="default"/>
      <w:headerReference r:id="rId13" w:type="even"/>
      <w:footerReference r:id="rId16" w:type="even"/>
      <w:pgSz w:w="11906" w:h="16838"/>
      <w:pgMar w:top="1440" w:right="1800" w:bottom="1440" w:left="1800" w:header="851" w:footer="992" w:gutter="0"/>
      <w:pgNumType w:fmt="decimal"/>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5DE585D0-D9C3-4F6F-B166-DA6C519B5DD8}"/>
  </w:font>
  <w:font w:name="宋体">
    <w:panose1 w:val="02010600030101010101"/>
    <w:charset w:val="86"/>
    <w:family w:val="auto"/>
    <w:pitch w:val="default"/>
    <w:sig w:usb0="00000203" w:usb1="288F0000" w:usb2="00000006" w:usb3="00000000" w:csb0="00040001" w:csb1="00000000"/>
    <w:embedRegular r:id="rId2" w:fontKey="{E365FA61-017C-499D-B1D3-84F3FFC59EFB}"/>
  </w:font>
  <w:font w:name="Wingdings">
    <w:panose1 w:val="05000000000000000000"/>
    <w:charset w:val="02"/>
    <w:family w:val="auto"/>
    <w:pitch w:val="default"/>
    <w:sig w:usb0="00000000" w:usb1="00000000" w:usb2="00000000" w:usb3="00000000" w:csb0="80000000" w:csb1="00000000"/>
    <w:embedRegular r:id="rId3" w:fontKey="{CE9721F5-00CA-410C-8495-49D4701EEA55}"/>
  </w:font>
  <w:font w:name="Arial">
    <w:panose1 w:val="020B0604020202020204"/>
    <w:charset w:val="01"/>
    <w:family w:val="swiss"/>
    <w:pitch w:val="default"/>
    <w:sig w:usb0="E0002EFF" w:usb1="C000785B" w:usb2="00000009" w:usb3="00000000" w:csb0="400001FF" w:csb1="FFFF0000"/>
    <w:embedRegular r:id="rId4" w:fontKey="{315E139C-B060-47F7-9DCB-AD0C7768CE17}"/>
  </w:font>
  <w:font w:name="黑体">
    <w:panose1 w:val="02010609060101010101"/>
    <w:charset w:val="86"/>
    <w:family w:val="auto"/>
    <w:pitch w:val="default"/>
    <w:sig w:usb0="800002BF" w:usb1="38CF7CFA" w:usb2="00000016" w:usb3="00000000" w:csb0="00040001" w:csb1="00000000"/>
    <w:embedRegular r:id="rId5" w:fontKey="{9B8C1DE4-216D-4BBE-BDB9-3BB9ACEB17B4}"/>
  </w:font>
  <w:font w:name="Courier New">
    <w:panose1 w:val="02070309020205020404"/>
    <w:charset w:val="01"/>
    <w:family w:val="modern"/>
    <w:pitch w:val="default"/>
    <w:sig w:usb0="E0002EFF" w:usb1="C0007843" w:usb2="00000009" w:usb3="00000000" w:csb0="400001FF" w:csb1="FFFF0000"/>
    <w:embedRegular r:id="rId6" w:fontKey="{355CD03C-F943-485E-AB78-2EED74A75DA7}"/>
  </w:font>
  <w:font w:name="Symbol">
    <w:panose1 w:val="05050102010706020507"/>
    <w:charset w:val="02"/>
    <w:family w:val="roman"/>
    <w:pitch w:val="default"/>
    <w:sig w:usb0="00000000" w:usb1="00000000" w:usb2="00000000" w:usb3="00000000" w:csb0="80000000" w:csb1="00000000"/>
    <w:embedRegular r:id="rId7" w:fontKey="{680C73DB-A4F5-42C9-A6EC-3AE186042816}"/>
  </w:font>
  <w:font w:name="Calibri">
    <w:panose1 w:val="020F0502020204030204"/>
    <w:charset w:val="00"/>
    <w:family w:val="swiss"/>
    <w:pitch w:val="default"/>
    <w:sig w:usb0="E4002EFF" w:usb1="C000247B" w:usb2="00000009" w:usb3="00000000" w:csb0="200001FF" w:csb1="00000000"/>
    <w:embedRegular r:id="rId8" w:fontKey="{1267611B-4CAA-4B35-803C-BA3B6FD3A944}"/>
  </w:font>
  <w:font w:name="Calibri Light">
    <w:panose1 w:val="020F0302020204030204"/>
    <w:charset w:val="00"/>
    <w:family w:val="swiss"/>
    <w:pitch w:val="default"/>
    <w:sig w:usb0="E4002EFF" w:usb1="C000247B" w:usb2="00000009" w:usb3="00000000" w:csb0="200001FF" w:csb1="00000000"/>
    <w:embedRegular r:id="rId9" w:fontKey="{1D7EAAEF-EAE6-4AAE-8AFF-39B9298C7ACD}"/>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0" w:fontKey="{3537B705-E88F-4D13-8236-03E316CCD456}"/>
  </w:font>
  <w:font w:name="方正小标宋简体">
    <w:panose1 w:val="02010600010101010101"/>
    <w:charset w:val="86"/>
    <w:family w:val="script"/>
    <w:pitch w:val="default"/>
    <w:sig w:usb0="00000001" w:usb1="080E0000" w:usb2="00000000" w:usb3="00000000" w:csb0="00040000" w:csb1="00000000"/>
    <w:embedRegular r:id="rId11" w:fontKey="{13078550-5E56-4650-9E40-140A0A89892C}"/>
  </w:font>
  <w:font w:name="长城小">
    <w:altName w:val="宋体"/>
    <w:panose1 w:val="00000000000000000000"/>
    <w:charset w:val="86"/>
    <w:family w:val="modern"/>
    <w:pitch w:val="default"/>
    <w:sig w:usb0="00000000" w:usb1="00000000" w:usb2="00000000" w:usb3="00000000" w:csb0="20160004" w:csb1="00100000"/>
    <w:embedRegular r:id="rId12" w:fontKey="{B4E193E5-D733-471E-B282-E71C32EE8950}"/>
  </w:font>
  <w:font w:name="长城小标宋体">
    <w:altName w:val="宋体"/>
    <w:panose1 w:val="00000000000000000000"/>
    <w:charset w:val="86"/>
    <w:family w:val="modern"/>
    <w:pitch w:val="default"/>
    <w:sig w:usb0="00000000" w:usb1="00000000" w:usb2="00000000" w:usb3="00000000" w:csb0="00000000" w:csb1="00000000"/>
    <w:embedRegular r:id="rId13" w:fontKey="{BA281FF8-CBD9-4FDF-9ADF-E836A2859D56}"/>
  </w:font>
  <w:font w:name="仿宋">
    <w:panose1 w:val="02010609060101010101"/>
    <w:charset w:val="86"/>
    <w:family w:val="modern"/>
    <w:pitch w:val="default"/>
    <w:sig w:usb0="800002BF" w:usb1="38CF7CFA" w:usb2="00000016" w:usb3="00000000" w:csb0="00040001" w:csb1="00000000"/>
    <w:embedRegular r:id="rId14" w:fontKey="{67263CF1-EBE0-48E8-A9D9-3D14381E8FFA}"/>
  </w:font>
  <w:font w:name="Times New Roman Regular">
    <w:altName w:val="Times New Roman"/>
    <w:panose1 w:val="00000000000000000000"/>
    <w:charset w:val="00"/>
    <w:family w:val="auto"/>
    <w:pitch w:val="default"/>
    <w:sig w:usb0="00000000" w:usb1="00000000" w:usb2="00000009" w:usb3="00000000" w:csb0="400001FF" w:csb1="FFFF0000"/>
    <w:embedRegular r:id="rId15" w:fontKey="{0EE59569-DCFF-40C9-8CA1-ADF813E7649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620B2">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07BF2C">
    <w:pPr>
      <w:pStyle w:val="1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9BC76E9">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79BC76E9">
                    <w:pPr>
                      <w:pStyle w:val="14"/>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5D0D69">
    <w:pPr>
      <w:pStyle w:val="14"/>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D40E7F">
                          <w:pPr>
                            <w:pStyle w:val="14"/>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19</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6ED40E7F">
                    <w:pPr>
                      <w:pStyle w:val="14"/>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19</w:t>
                    </w:r>
                    <w:r>
                      <w:fldChar w:fldCharType="end"/>
                    </w:r>
                    <w:r>
                      <w:t xml:space="preserve"> 页</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7132FA">
    <w:pPr>
      <w:pStyle w:val="14"/>
      <w:jc w:val="both"/>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9F223F4">
                          <w:pPr>
                            <w:pStyle w:val="14"/>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19</w:t>
                          </w:r>
                          <w:r>
                            <w:fldChar w:fldCharType="end"/>
                          </w:r>
                          <w:r>
                            <w:t xml:space="preserve"> 页</w:t>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QHJYcIBAACN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m5BoTbQ8LCpZ+MOkJNxXBKhdG0UXkNHt9L1sNftP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OUByWHCAQAAjQMAAA4AAAAAAAAAAQAgAAAAHgEAAGRycy9lMm9Eb2MueG1sUEsF&#10;BgAAAAAGAAYAWQEAAFIFAAAAAA==&#10;">
              <v:fill on="f" focussize="0,0"/>
              <v:stroke on="f"/>
              <v:imagedata o:title=""/>
              <o:lock v:ext="edit" aspectratio="f"/>
              <v:textbox inset="0mm,0mm,0mm,0mm" style="mso-fit-shape-to-text:t;">
                <w:txbxContent>
                  <w:p w14:paraId="59F223F4">
                    <w:pPr>
                      <w:pStyle w:val="14"/>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19</w:t>
                    </w:r>
                    <w:r>
                      <w:fldChar w:fldCharType="end"/>
                    </w:r>
                    <w:r>
                      <w:t xml:space="preserve"> 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841AE8">
    <w:pPr>
      <w:pStyle w:val="14"/>
      <w:spacing w:after="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B59D00">
                          <w:pPr>
                            <w:pStyle w:val="14"/>
                          </w:pPr>
                          <w:r>
                            <w:t xml:space="preserve">第 </w:t>
                          </w:r>
                          <w:r>
                            <w:fldChar w:fldCharType="begin"/>
                          </w:r>
                          <w:r>
                            <w:instrText xml:space="preserve"> PAGE  \* MERGEFORMAT </w:instrText>
                          </w:r>
                          <w:r>
                            <w:fldChar w:fldCharType="separate"/>
                          </w:r>
                          <w:r>
                            <w:t>12</w:t>
                          </w:r>
                          <w:r>
                            <w:fldChar w:fldCharType="end"/>
                          </w:r>
                          <w:r>
                            <w:t xml:space="preserve"> 页 共 </w:t>
                          </w:r>
                          <w:r>
                            <w:fldChar w:fldCharType="begin"/>
                          </w:r>
                          <w:r>
                            <w:instrText xml:space="preserve"> NUMPAGES  \* MERGEFORMAT </w:instrText>
                          </w:r>
                          <w:r>
                            <w:fldChar w:fldCharType="separate"/>
                          </w:r>
                          <w:r>
                            <w:t>19</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71B59D00">
                    <w:pPr>
                      <w:pStyle w:val="14"/>
                    </w:pPr>
                    <w:r>
                      <w:t xml:space="preserve">第 </w:t>
                    </w:r>
                    <w:r>
                      <w:fldChar w:fldCharType="begin"/>
                    </w:r>
                    <w:r>
                      <w:instrText xml:space="preserve"> PAGE  \* MERGEFORMAT </w:instrText>
                    </w:r>
                    <w:r>
                      <w:fldChar w:fldCharType="separate"/>
                    </w:r>
                    <w:r>
                      <w:t>12</w:t>
                    </w:r>
                    <w:r>
                      <w:fldChar w:fldCharType="end"/>
                    </w:r>
                    <w:r>
                      <w:t xml:space="preserve"> 页 共 </w:t>
                    </w:r>
                    <w:r>
                      <w:fldChar w:fldCharType="begin"/>
                    </w:r>
                    <w:r>
                      <w:instrText xml:space="preserve"> NUMPAGES  \* MERGEFORMAT </w:instrText>
                    </w:r>
                    <w:r>
                      <w:fldChar w:fldCharType="separate"/>
                    </w:r>
                    <w:r>
                      <w:t>19</w:t>
                    </w:r>
                    <w:r>
                      <w:fldChar w:fldCharType="end"/>
                    </w:r>
                    <w:r>
                      <w:t xml:space="preserve"> 页</w:t>
                    </w:r>
                  </w:p>
                </w:txbxContent>
              </v:textbox>
            </v:shape>
          </w:pict>
        </mc:Fallback>
      </mc:AlternateContent>
    </w:r>
    <w:sdt>
      <w:sdtPr>
        <w:id w:val="1311213736"/>
        <w:showingPlcHdr/>
      </w:sdtPr>
      <w:sdtContent>
        <w:r>
          <w:t xml:space="preserve">     </w:t>
        </w:r>
      </w:sdtContent>
    </w:sdt>
  </w:p>
  <w:p w14:paraId="5A08E1D0">
    <w:pPr>
      <w:spacing w:after="6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ACA8F1">
    <w:pPr>
      <w:pStyle w:val="1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4F06F8">
    <w:pPr>
      <w:spacing w:after="60"/>
      <w:jc w:val="left"/>
    </w:pPr>
    <w:r>
      <w:rPr>
        <w:sz w:val="21"/>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E96136">
                          <w:pPr>
                            <w:pStyle w:val="14"/>
                          </w:pPr>
                          <w:r>
                            <w:t xml:space="preserve">第 </w:t>
                          </w:r>
                          <w:r>
                            <w:fldChar w:fldCharType="begin"/>
                          </w:r>
                          <w:r>
                            <w:instrText xml:space="preserve"> PAGE  \* MERGEFORMAT </w:instrText>
                          </w:r>
                          <w:r>
                            <w:fldChar w:fldCharType="separate"/>
                          </w:r>
                          <w:r>
                            <w:t>11</w:t>
                          </w:r>
                          <w:r>
                            <w:fldChar w:fldCharType="end"/>
                          </w:r>
                          <w:r>
                            <w:t xml:space="preserve"> 页 共 </w:t>
                          </w:r>
                          <w:r>
                            <w:fldChar w:fldCharType="begin"/>
                          </w:r>
                          <w:r>
                            <w:instrText xml:space="preserve"> NUMPAGES  \* MERGEFORMAT </w:instrText>
                          </w:r>
                          <w:r>
                            <w:fldChar w:fldCharType="separate"/>
                          </w:r>
                          <w:r>
                            <w:t>19</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18E96136">
                    <w:pPr>
                      <w:pStyle w:val="14"/>
                    </w:pPr>
                    <w:r>
                      <w:t xml:space="preserve">第 </w:t>
                    </w:r>
                    <w:r>
                      <w:fldChar w:fldCharType="begin"/>
                    </w:r>
                    <w:r>
                      <w:instrText xml:space="preserve"> PAGE  \* MERGEFORMAT </w:instrText>
                    </w:r>
                    <w:r>
                      <w:fldChar w:fldCharType="separate"/>
                    </w:r>
                    <w:r>
                      <w:t>11</w:t>
                    </w:r>
                    <w:r>
                      <w:fldChar w:fldCharType="end"/>
                    </w:r>
                    <w:r>
                      <w:t xml:space="preserve"> 页 共 </w:t>
                    </w:r>
                    <w:r>
                      <w:fldChar w:fldCharType="begin"/>
                    </w:r>
                    <w:r>
                      <w:instrText xml:space="preserve"> NUMPAGES  \* MERGEFORMAT </w:instrText>
                    </w:r>
                    <w:r>
                      <w:fldChar w:fldCharType="separate"/>
                    </w:r>
                    <w:r>
                      <w:t>19</w:t>
                    </w:r>
                    <w:r>
                      <w:fldChar w:fldCharType="end"/>
                    </w:r>
                    <w:r>
                      <w:t xml:space="preserve"> 页</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1838AC">
    <w:pPr>
      <w:pStyle w:val="15"/>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4018E9">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3B951D">
    <w:pPr>
      <w:pStyle w:val="1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A2FF84">
    <w:pPr>
      <w:pStyle w:val="1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E9FBAB">
    <w:pPr>
      <w:pStyle w:val="15"/>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FE77C9">
    <w:pPr>
      <w:pStyle w:val="15"/>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9CC0E9"/>
    <w:multiLevelType w:val="singleLevel"/>
    <w:tmpl w:val="999CC0E9"/>
    <w:lvl w:ilvl="0" w:tentative="0">
      <w:start w:val="1"/>
      <w:numFmt w:val="chineseCounting"/>
      <w:suff w:val="nothing"/>
      <w:lvlText w:val="%1、"/>
      <w:lvlJc w:val="left"/>
      <w:rPr>
        <w:rFonts w:hint="eastAsia"/>
        <w:b/>
        <w:bCs/>
      </w:rPr>
    </w:lvl>
  </w:abstractNum>
  <w:abstractNum w:abstractNumId="1">
    <w:nsid w:val="9B8D7BF0"/>
    <w:multiLevelType w:val="singleLevel"/>
    <w:tmpl w:val="9B8D7BF0"/>
    <w:lvl w:ilvl="0" w:tentative="0">
      <w:start w:val="1"/>
      <w:numFmt w:val="decimal"/>
      <w:suff w:val="nothing"/>
      <w:lvlText w:val="%1、"/>
      <w:lvlJc w:val="left"/>
    </w:lvl>
  </w:abstractNum>
  <w:abstractNum w:abstractNumId="2">
    <w:nsid w:val="D640C5AB"/>
    <w:multiLevelType w:val="singleLevel"/>
    <w:tmpl w:val="D640C5AB"/>
    <w:lvl w:ilvl="0" w:tentative="0">
      <w:start w:val="1"/>
      <w:numFmt w:val="decimal"/>
      <w:suff w:val="nothing"/>
      <w:lvlText w:val="%1、"/>
      <w:lvlJc w:val="left"/>
    </w:lvl>
  </w:abstractNum>
  <w:abstractNum w:abstractNumId="3">
    <w:nsid w:val="FB4F6543"/>
    <w:multiLevelType w:val="singleLevel"/>
    <w:tmpl w:val="FB4F6543"/>
    <w:lvl w:ilvl="0" w:tentative="0">
      <w:start w:val="1"/>
      <w:numFmt w:val="decimal"/>
      <w:suff w:val="nothing"/>
      <w:lvlText w:val="%1、"/>
      <w:lvlJc w:val="left"/>
    </w:lvl>
  </w:abstractNum>
  <w:abstractNum w:abstractNumId="4">
    <w:nsid w:val="008BE04A"/>
    <w:multiLevelType w:val="singleLevel"/>
    <w:tmpl w:val="008BE04A"/>
    <w:lvl w:ilvl="0" w:tentative="0">
      <w:start w:val="1"/>
      <w:numFmt w:val="chineseCounting"/>
      <w:suff w:val="nothing"/>
      <w:lvlText w:val="（%1）"/>
      <w:lvlJc w:val="left"/>
      <w:rPr>
        <w:rFonts w:hint="eastAsia"/>
        <w:b/>
        <w:bCs/>
      </w:rPr>
    </w:lvl>
  </w:abstractNum>
  <w:abstractNum w:abstractNumId="5">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4"/>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6">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5"/>
  </w:num>
  <w:num w:numId="2">
    <w:abstractNumId w:val="7"/>
  </w:num>
  <w:num w:numId="3">
    <w:abstractNumId w:val="0"/>
  </w:num>
  <w:num w:numId="4">
    <w:abstractNumId w:val="1"/>
  </w:num>
  <w:num w:numId="5">
    <w:abstractNumId w:val="3"/>
  </w:num>
  <w:num w:numId="6">
    <w:abstractNumId w:val="2"/>
  </w:num>
  <w:num w:numId="7">
    <w:abstractNumId w:val="6"/>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embedSystemFonts/>
  <w:bordersDoNotSurroundHeader w:val="1"/>
  <w:bordersDoNotSurroundFooter w:val="1"/>
  <w:documentProtection w:enforcement="0"/>
  <w:defaultTabStop w:val="0"/>
  <w:drawingGridHorizontalSpacing w:val="105"/>
  <w:drawingGridVerticalSpacing w:val="156"/>
  <w:displayHorizontalDrawingGridEvery w:val="2"/>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GQyYTdhNTJiMDcyNGFmMjliNjk2MGYwZDU2ZjlhYjk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0F7"/>
    <w:rsid w:val="00034910"/>
    <w:rsid w:val="00034C63"/>
    <w:rsid w:val="00034DD1"/>
    <w:rsid w:val="00035219"/>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204"/>
    <w:rsid w:val="00067D56"/>
    <w:rsid w:val="000711E9"/>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09EF"/>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0E43"/>
    <w:rsid w:val="001C14E1"/>
    <w:rsid w:val="001C17E6"/>
    <w:rsid w:val="001C2A3F"/>
    <w:rsid w:val="001C4A3C"/>
    <w:rsid w:val="001C4ACC"/>
    <w:rsid w:val="001C591B"/>
    <w:rsid w:val="001D1152"/>
    <w:rsid w:val="001D29DB"/>
    <w:rsid w:val="001D331E"/>
    <w:rsid w:val="001D3D1B"/>
    <w:rsid w:val="001D4AF9"/>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EC6"/>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4E6"/>
    <w:rsid w:val="00407A7E"/>
    <w:rsid w:val="0041194D"/>
    <w:rsid w:val="0041212E"/>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561C"/>
    <w:rsid w:val="00436601"/>
    <w:rsid w:val="00441092"/>
    <w:rsid w:val="00441E26"/>
    <w:rsid w:val="00442049"/>
    <w:rsid w:val="00442D5B"/>
    <w:rsid w:val="00443805"/>
    <w:rsid w:val="00444150"/>
    <w:rsid w:val="004501FF"/>
    <w:rsid w:val="0045100B"/>
    <w:rsid w:val="0045280F"/>
    <w:rsid w:val="00452F86"/>
    <w:rsid w:val="00453073"/>
    <w:rsid w:val="0045378A"/>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A11"/>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7175"/>
    <w:rsid w:val="004A7504"/>
    <w:rsid w:val="004A7FCF"/>
    <w:rsid w:val="004B387F"/>
    <w:rsid w:val="004B3AFC"/>
    <w:rsid w:val="004B4A64"/>
    <w:rsid w:val="004B627E"/>
    <w:rsid w:val="004B62D7"/>
    <w:rsid w:val="004B67A4"/>
    <w:rsid w:val="004C4E00"/>
    <w:rsid w:val="004C57FB"/>
    <w:rsid w:val="004C7000"/>
    <w:rsid w:val="004C7519"/>
    <w:rsid w:val="004C75DC"/>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2F9E"/>
    <w:rsid w:val="006335F3"/>
    <w:rsid w:val="00633FF7"/>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499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439"/>
    <w:rsid w:val="007507BB"/>
    <w:rsid w:val="007525B0"/>
    <w:rsid w:val="00752FB3"/>
    <w:rsid w:val="00760299"/>
    <w:rsid w:val="00760545"/>
    <w:rsid w:val="00761128"/>
    <w:rsid w:val="00761B6C"/>
    <w:rsid w:val="0076322B"/>
    <w:rsid w:val="00763344"/>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946"/>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4FF6"/>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41972"/>
    <w:rsid w:val="00841F61"/>
    <w:rsid w:val="00844140"/>
    <w:rsid w:val="008449FD"/>
    <w:rsid w:val="008453B1"/>
    <w:rsid w:val="008453BD"/>
    <w:rsid w:val="008465A1"/>
    <w:rsid w:val="00846F07"/>
    <w:rsid w:val="00850729"/>
    <w:rsid w:val="00851AD4"/>
    <w:rsid w:val="00852EA8"/>
    <w:rsid w:val="0085314D"/>
    <w:rsid w:val="008562E8"/>
    <w:rsid w:val="0086070F"/>
    <w:rsid w:val="00865D00"/>
    <w:rsid w:val="00867BB8"/>
    <w:rsid w:val="00870E35"/>
    <w:rsid w:val="0087174C"/>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482"/>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91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083C"/>
    <w:rsid w:val="009C3680"/>
    <w:rsid w:val="009C46A4"/>
    <w:rsid w:val="009C490E"/>
    <w:rsid w:val="009C5C82"/>
    <w:rsid w:val="009D05DB"/>
    <w:rsid w:val="009D3047"/>
    <w:rsid w:val="009D3152"/>
    <w:rsid w:val="009D3853"/>
    <w:rsid w:val="009D68B6"/>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69D"/>
    <w:rsid w:val="00A118E6"/>
    <w:rsid w:val="00A12B11"/>
    <w:rsid w:val="00A14757"/>
    <w:rsid w:val="00A1726D"/>
    <w:rsid w:val="00A17AC2"/>
    <w:rsid w:val="00A17DA8"/>
    <w:rsid w:val="00A20157"/>
    <w:rsid w:val="00A2125B"/>
    <w:rsid w:val="00A21A44"/>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67F"/>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66A5"/>
    <w:rsid w:val="00A86FF9"/>
    <w:rsid w:val="00AA6498"/>
    <w:rsid w:val="00AB1886"/>
    <w:rsid w:val="00AB291D"/>
    <w:rsid w:val="00AB3A90"/>
    <w:rsid w:val="00AB54FD"/>
    <w:rsid w:val="00AB6D84"/>
    <w:rsid w:val="00AB7F17"/>
    <w:rsid w:val="00AC3437"/>
    <w:rsid w:val="00AC40B8"/>
    <w:rsid w:val="00AC6A8B"/>
    <w:rsid w:val="00AC73C2"/>
    <w:rsid w:val="00AC7E58"/>
    <w:rsid w:val="00AD04E6"/>
    <w:rsid w:val="00AD2169"/>
    <w:rsid w:val="00AD2429"/>
    <w:rsid w:val="00AD2467"/>
    <w:rsid w:val="00AD25C3"/>
    <w:rsid w:val="00AD2C7D"/>
    <w:rsid w:val="00AD31EA"/>
    <w:rsid w:val="00AD4221"/>
    <w:rsid w:val="00AD5AA2"/>
    <w:rsid w:val="00AD6719"/>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804FE"/>
    <w:rsid w:val="00B818FC"/>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6591"/>
    <w:rsid w:val="00BD6851"/>
    <w:rsid w:val="00BD6D55"/>
    <w:rsid w:val="00BD778C"/>
    <w:rsid w:val="00BE0328"/>
    <w:rsid w:val="00BE03AD"/>
    <w:rsid w:val="00BE5C97"/>
    <w:rsid w:val="00BE5ED5"/>
    <w:rsid w:val="00BE5F2B"/>
    <w:rsid w:val="00BE6284"/>
    <w:rsid w:val="00BE6409"/>
    <w:rsid w:val="00BE640F"/>
    <w:rsid w:val="00BE7494"/>
    <w:rsid w:val="00BF120F"/>
    <w:rsid w:val="00BF2223"/>
    <w:rsid w:val="00BF23EF"/>
    <w:rsid w:val="00BF3FDC"/>
    <w:rsid w:val="00BF759D"/>
    <w:rsid w:val="00C0026B"/>
    <w:rsid w:val="00C01367"/>
    <w:rsid w:val="00C01CF0"/>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27A1D"/>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041"/>
    <w:rsid w:val="00C47D29"/>
    <w:rsid w:val="00C50719"/>
    <w:rsid w:val="00C5071F"/>
    <w:rsid w:val="00C511CD"/>
    <w:rsid w:val="00C5160F"/>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3919"/>
    <w:rsid w:val="00D23F5E"/>
    <w:rsid w:val="00D25753"/>
    <w:rsid w:val="00D25D80"/>
    <w:rsid w:val="00D26AC3"/>
    <w:rsid w:val="00D26D56"/>
    <w:rsid w:val="00D27DB5"/>
    <w:rsid w:val="00D27E1A"/>
    <w:rsid w:val="00D30354"/>
    <w:rsid w:val="00D3148C"/>
    <w:rsid w:val="00D31C15"/>
    <w:rsid w:val="00D33F28"/>
    <w:rsid w:val="00D343F6"/>
    <w:rsid w:val="00D34A1C"/>
    <w:rsid w:val="00D3547F"/>
    <w:rsid w:val="00D362D7"/>
    <w:rsid w:val="00D369AA"/>
    <w:rsid w:val="00D42051"/>
    <w:rsid w:val="00D42324"/>
    <w:rsid w:val="00D42808"/>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711F"/>
    <w:rsid w:val="00DD0FDD"/>
    <w:rsid w:val="00DD2F8F"/>
    <w:rsid w:val="00DD3FCB"/>
    <w:rsid w:val="00DD6FD4"/>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307F"/>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246B"/>
    <w:rsid w:val="00E85AB0"/>
    <w:rsid w:val="00E85DFA"/>
    <w:rsid w:val="00E87593"/>
    <w:rsid w:val="00E9060B"/>
    <w:rsid w:val="00E909D5"/>
    <w:rsid w:val="00E90F81"/>
    <w:rsid w:val="00E92C42"/>
    <w:rsid w:val="00E931B4"/>
    <w:rsid w:val="00E9663C"/>
    <w:rsid w:val="00E96B19"/>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19F"/>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282A"/>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2703038"/>
    <w:rsid w:val="02D41203"/>
    <w:rsid w:val="06A33F53"/>
    <w:rsid w:val="06F9F432"/>
    <w:rsid w:val="08B31558"/>
    <w:rsid w:val="0A886720"/>
    <w:rsid w:val="0B0E30C9"/>
    <w:rsid w:val="0BDC2D7C"/>
    <w:rsid w:val="0C732CB5"/>
    <w:rsid w:val="0D7F8C1E"/>
    <w:rsid w:val="0DAFDDD2"/>
    <w:rsid w:val="0E041799"/>
    <w:rsid w:val="0FD61205"/>
    <w:rsid w:val="10DD77C5"/>
    <w:rsid w:val="11AD74D8"/>
    <w:rsid w:val="12F41825"/>
    <w:rsid w:val="13AFEC81"/>
    <w:rsid w:val="1A2669EC"/>
    <w:rsid w:val="1B3FC108"/>
    <w:rsid w:val="1BBF5AD0"/>
    <w:rsid w:val="1BFB4A9B"/>
    <w:rsid w:val="1BFE3282"/>
    <w:rsid w:val="1F0F1A56"/>
    <w:rsid w:val="1F7242FF"/>
    <w:rsid w:val="1F744E6B"/>
    <w:rsid w:val="1F7F9C30"/>
    <w:rsid w:val="1FB39FF7"/>
    <w:rsid w:val="1FB54372"/>
    <w:rsid w:val="1FFF4E3F"/>
    <w:rsid w:val="23537D8D"/>
    <w:rsid w:val="237D636B"/>
    <w:rsid w:val="257FF5EF"/>
    <w:rsid w:val="2745039E"/>
    <w:rsid w:val="27BED872"/>
    <w:rsid w:val="29E9B391"/>
    <w:rsid w:val="2AFDB16C"/>
    <w:rsid w:val="2B7D8E96"/>
    <w:rsid w:val="2B9B7C50"/>
    <w:rsid w:val="2C87EFA4"/>
    <w:rsid w:val="2CDD1A53"/>
    <w:rsid w:val="2CEFA2BD"/>
    <w:rsid w:val="2D9E346A"/>
    <w:rsid w:val="2E1A39AF"/>
    <w:rsid w:val="2EFF028F"/>
    <w:rsid w:val="2EFF0385"/>
    <w:rsid w:val="2FDFB298"/>
    <w:rsid w:val="2FEBB001"/>
    <w:rsid w:val="30BF60A9"/>
    <w:rsid w:val="30EE09A0"/>
    <w:rsid w:val="324C4353"/>
    <w:rsid w:val="340E3EBE"/>
    <w:rsid w:val="36B91E0A"/>
    <w:rsid w:val="37277C0A"/>
    <w:rsid w:val="377B856B"/>
    <w:rsid w:val="37FEEEDA"/>
    <w:rsid w:val="391FB7C6"/>
    <w:rsid w:val="3956852C"/>
    <w:rsid w:val="397D4866"/>
    <w:rsid w:val="3A3B0BB3"/>
    <w:rsid w:val="3A51BFC5"/>
    <w:rsid w:val="3A7647DA"/>
    <w:rsid w:val="3AFD93B8"/>
    <w:rsid w:val="3B1F391F"/>
    <w:rsid w:val="3B459C86"/>
    <w:rsid w:val="3B5F884B"/>
    <w:rsid w:val="3B95BADD"/>
    <w:rsid w:val="3C5D14BF"/>
    <w:rsid w:val="3C7BEB7C"/>
    <w:rsid w:val="3D6C951B"/>
    <w:rsid w:val="3DB56025"/>
    <w:rsid w:val="3DFF524D"/>
    <w:rsid w:val="3DFF7079"/>
    <w:rsid w:val="3DFFBEE7"/>
    <w:rsid w:val="3EA7FE48"/>
    <w:rsid w:val="3EF86484"/>
    <w:rsid w:val="3EFBCAFF"/>
    <w:rsid w:val="3EFFC981"/>
    <w:rsid w:val="3FBF5430"/>
    <w:rsid w:val="3FD37539"/>
    <w:rsid w:val="3FDFD096"/>
    <w:rsid w:val="3FE200A5"/>
    <w:rsid w:val="3FED8FF1"/>
    <w:rsid w:val="3FFCCAC4"/>
    <w:rsid w:val="3FFE10BE"/>
    <w:rsid w:val="41236528"/>
    <w:rsid w:val="417EEE12"/>
    <w:rsid w:val="42652233"/>
    <w:rsid w:val="44292F68"/>
    <w:rsid w:val="44B74794"/>
    <w:rsid w:val="477F8B44"/>
    <w:rsid w:val="49C317F9"/>
    <w:rsid w:val="4ACDDF1D"/>
    <w:rsid w:val="4BBA3990"/>
    <w:rsid w:val="4DFF1032"/>
    <w:rsid w:val="4EFDA9D6"/>
    <w:rsid w:val="4EFF30A2"/>
    <w:rsid w:val="4F10078B"/>
    <w:rsid w:val="4F155DA1"/>
    <w:rsid w:val="4F4F0D8E"/>
    <w:rsid w:val="4FF9BA94"/>
    <w:rsid w:val="4FFC2348"/>
    <w:rsid w:val="542603BD"/>
    <w:rsid w:val="54773354"/>
    <w:rsid w:val="557F0F30"/>
    <w:rsid w:val="559E5CE3"/>
    <w:rsid w:val="56DD8954"/>
    <w:rsid w:val="57AFC3C2"/>
    <w:rsid w:val="59FF3A15"/>
    <w:rsid w:val="5AFFC0B6"/>
    <w:rsid w:val="5BFAA3C6"/>
    <w:rsid w:val="5C163B75"/>
    <w:rsid w:val="5D094FD0"/>
    <w:rsid w:val="5D69DE7E"/>
    <w:rsid w:val="5D7BEC1C"/>
    <w:rsid w:val="5DDB0F78"/>
    <w:rsid w:val="5E737D05"/>
    <w:rsid w:val="5E8BD0E0"/>
    <w:rsid w:val="5EF54E86"/>
    <w:rsid w:val="5F046881"/>
    <w:rsid w:val="5F12D39A"/>
    <w:rsid w:val="5F9C4EB5"/>
    <w:rsid w:val="5FDF7957"/>
    <w:rsid w:val="5FEBE7E7"/>
    <w:rsid w:val="5FF13CC0"/>
    <w:rsid w:val="5FF92615"/>
    <w:rsid w:val="5FF9696C"/>
    <w:rsid w:val="5FFDF639"/>
    <w:rsid w:val="5FFFB48E"/>
    <w:rsid w:val="60AC23CC"/>
    <w:rsid w:val="627907CB"/>
    <w:rsid w:val="633C8FA8"/>
    <w:rsid w:val="633F0871"/>
    <w:rsid w:val="637FE448"/>
    <w:rsid w:val="63BD36A8"/>
    <w:rsid w:val="654FD8A0"/>
    <w:rsid w:val="656C2C83"/>
    <w:rsid w:val="67194FDD"/>
    <w:rsid w:val="6775E9D8"/>
    <w:rsid w:val="67F565AC"/>
    <w:rsid w:val="67F73327"/>
    <w:rsid w:val="68FA8082"/>
    <w:rsid w:val="69BF38A2"/>
    <w:rsid w:val="69EFC425"/>
    <w:rsid w:val="6A3101C5"/>
    <w:rsid w:val="6ACFA4E7"/>
    <w:rsid w:val="6B86ABFC"/>
    <w:rsid w:val="6BA92576"/>
    <w:rsid w:val="6BBD76DF"/>
    <w:rsid w:val="6BDA34B9"/>
    <w:rsid w:val="6BEF6F0A"/>
    <w:rsid w:val="6BF6364D"/>
    <w:rsid w:val="6C731664"/>
    <w:rsid w:val="6D350F65"/>
    <w:rsid w:val="6D36FBAA"/>
    <w:rsid w:val="6DE7364E"/>
    <w:rsid w:val="6DF8FC16"/>
    <w:rsid w:val="6DFAD7F2"/>
    <w:rsid w:val="6DFE24B9"/>
    <w:rsid w:val="6EFB6A16"/>
    <w:rsid w:val="6F36F6F4"/>
    <w:rsid w:val="6F406427"/>
    <w:rsid w:val="6FA6DB15"/>
    <w:rsid w:val="6FAB380F"/>
    <w:rsid w:val="6FBADB8D"/>
    <w:rsid w:val="6FDDBDCB"/>
    <w:rsid w:val="6FEAAF68"/>
    <w:rsid w:val="6FFA9CDC"/>
    <w:rsid w:val="6FFB74FC"/>
    <w:rsid w:val="6FFDAE21"/>
    <w:rsid w:val="6FFE89B2"/>
    <w:rsid w:val="6FFF16F2"/>
    <w:rsid w:val="6FFFEBAB"/>
    <w:rsid w:val="705FDC4F"/>
    <w:rsid w:val="714E4696"/>
    <w:rsid w:val="71CA25C3"/>
    <w:rsid w:val="71D3FAB0"/>
    <w:rsid w:val="71E31102"/>
    <w:rsid w:val="73EFA308"/>
    <w:rsid w:val="75FB540A"/>
    <w:rsid w:val="767774B9"/>
    <w:rsid w:val="767F8E38"/>
    <w:rsid w:val="76C15DFA"/>
    <w:rsid w:val="76DF1811"/>
    <w:rsid w:val="76F74DDF"/>
    <w:rsid w:val="773EFEC2"/>
    <w:rsid w:val="77567AD1"/>
    <w:rsid w:val="776F9B9F"/>
    <w:rsid w:val="7797C448"/>
    <w:rsid w:val="77CF1E1A"/>
    <w:rsid w:val="77ED011D"/>
    <w:rsid w:val="77EFA3DE"/>
    <w:rsid w:val="77F97CB1"/>
    <w:rsid w:val="787BD127"/>
    <w:rsid w:val="78DFF50A"/>
    <w:rsid w:val="79BB9841"/>
    <w:rsid w:val="79DF1FD7"/>
    <w:rsid w:val="7A5F0597"/>
    <w:rsid w:val="7ABF0B18"/>
    <w:rsid w:val="7ADFE466"/>
    <w:rsid w:val="7B6EDD4B"/>
    <w:rsid w:val="7B737D6F"/>
    <w:rsid w:val="7BBD36C3"/>
    <w:rsid w:val="7BC6D504"/>
    <w:rsid w:val="7BD75F15"/>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3F007D"/>
    <w:rsid w:val="7E6F8A07"/>
    <w:rsid w:val="7E6F9801"/>
    <w:rsid w:val="7E7A170C"/>
    <w:rsid w:val="7E7D91AA"/>
    <w:rsid w:val="7ED6EE61"/>
    <w:rsid w:val="7EF6E115"/>
    <w:rsid w:val="7EFC441B"/>
    <w:rsid w:val="7EFF0106"/>
    <w:rsid w:val="7EFF5357"/>
    <w:rsid w:val="7F6FC704"/>
    <w:rsid w:val="7F794FE9"/>
    <w:rsid w:val="7F7DC8F8"/>
    <w:rsid w:val="7F7F0951"/>
    <w:rsid w:val="7F97D286"/>
    <w:rsid w:val="7F9B139E"/>
    <w:rsid w:val="7F9FE0CB"/>
    <w:rsid w:val="7F9FECBB"/>
    <w:rsid w:val="7FA719EA"/>
    <w:rsid w:val="7FB2F188"/>
    <w:rsid w:val="7FBB020A"/>
    <w:rsid w:val="7FBE6714"/>
    <w:rsid w:val="7FBF58CA"/>
    <w:rsid w:val="7FBFEB93"/>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semiHidden="0"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3">
    <w:name w:val="heading 1"/>
    <w:basedOn w:val="1"/>
    <w:next w:val="1"/>
    <w:link w:val="58"/>
    <w:qFormat/>
    <w:uiPriority w:val="0"/>
    <w:pPr>
      <w:keepNext/>
      <w:keepLines/>
      <w:spacing w:before="340" w:after="330" w:line="578" w:lineRule="auto"/>
      <w:outlineLvl w:val="0"/>
    </w:pPr>
    <w:rPr>
      <w:b/>
      <w:bCs/>
      <w:kern w:val="44"/>
      <w:sz w:val="44"/>
      <w:szCs w:val="44"/>
    </w:rPr>
  </w:style>
  <w:style w:type="paragraph" w:styleId="4">
    <w:name w:val="heading 2"/>
    <w:basedOn w:val="1"/>
    <w:next w:val="1"/>
    <w:qFormat/>
    <w:uiPriority w:val="99"/>
    <w:pPr>
      <w:keepNext/>
      <w:keepLines/>
      <w:spacing w:before="260" w:after="260" w:line="416" w:lineRule="auto"/>
      <w:outlineLvl w:val="1"/>
    </w:pPr>
    <w:rPr>
      <w:rFonts w:eastAsia="黑体"/>
      <w:b/>
      <w:bCs/>
      <w:sz w:val="32"/>
      <w:szCs w:val="32"/>
    </w:rPr>
  </w:style>
  <w:style w:type="paragraph" w:styleId="5">
    <w:name w:val="heading 3"/>
    <w:basedOn w:val="1"/>
    <w:next w:val="1"/>
    <w:qFormat/>
    <w:uiPriority w:val="99"/>
    <w:pPr>
      <w:keepNext/>
      <w:keepLines/>
      <w:spacing w:before="260" w:after="260" w:line="416" w:lineRule="auto"/>
      <w:outlineLvl w:val="2"/>
    </w:pPr>
    <w:rPr>
      <w:b/>
      <w:bCs/>
      <w:sz w:val="32"/>
      <w:szCs w:val="32"/>
    </w:rPr>
  </w:style>
  <w:style w:type="paragraph" w:styleId="6">
    <w:name w:val="heading 4"/>
    <w:basedOn w:val="1"/>
    <w:next w:val="1"/>
    <w:link w:val="47"/>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3">
    <w:name w:val="Default Paragraph Font"/>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customStyle="1" w:styleId="2">
    <w:name w:val="Index8"/>
    <w:next w:val="1"/>
    <w:qFormat/>
    <w:uiPriority w:val="0"/>
    <w:pPr>
      <w:widowControl w:val="0"/>
      <w:ind w:left="3920" w:leftChars="1400"/>
      <w:textAlignment w:val="baseline"/>
    </w:pPr>
    <w:rPr>
      <w:rFonts w:ascii="Calibri" w:hAnsi="Calibri" w:eastAsia="宋体" w:cs="Times New Roman"/>
      <w:kern w:val="2"/>
      <w:sz w:val="21"/>
      <w:szCs w:val="22"/>
      <w:lang w:val="en-US" w:eastAsia="zh-CN" w:bidi="ar-SA"/>
    </w:rPr>
  </w:style>
  <w:style w:type="paragraph" w:styleId="7">
    <w:name w:val="Normal Indent"/>
    <w:basedOn w:val="1"/>
    <w:qFormat/>
    <w:uiPriority w:val="0"/>
    <w:pPr>
      <w:ind w:firstLine="420" w:firstLineChars="200"/>
    </w:pPr>
  </w:style>
  <w:style w:type="paragraph" w:styleId="8">
    <w:name w:val="annotation text"/>
    <w:basedOn w:val="1"/>
    <w:link w:val="33"/>
    <w:qFormat/>
    <w:uiPriority w:val="99"/>
    <w:pPr>
      <w:spacing w:afterLines="0" w:line="240" w:lineRule="auto"/>
      <w:jc w:val="left"/>
    </w:pPr>
    <w:rPr>
      <w:rFonts w:ascii="Times New Roman" w:hAnsi="Times New Roman"/>
    </w:rPr>
  </w:style>
  <w:style w:type="paragraph" w:styleId="9">
    <w:name w:val="Body Text"/>
    <w:basedOn w:val="1"/>
    <w:qFormat/>
    <w:uiPriority w:val="99"/>
    <w:pPr>
      <w:tabs>
        <w:tab w:val="left" w:pos="4760"/>
      </w:tabs>
      <w:spacing w:after="78"/>
      <w:jc w:val="left"/>
    </w:pPr>
  </w:style>
  <w:style w:type="paragraph" w:styleId="10">
    <w:name w:val="Body Text Indent"/>
    <w:basedOn w:val="1"/>
    <w:qFormat/>
    <w:uiPriority w:val="0"/>
    <w:pPr>
      <w:tabs>
        <w:tab w:val="left" w:pos="4760"/>
      </w:tabs>
      <w:spacing w:after="120"/>
      <w:ind w:left="420" w:leftChars="200"/>
    </w:pPr>
  </w:style>
  <w:style w:type="paragraph" w:styleId="11">
    <w:name w:val="Plain Text"/>
    <w:basedOn w:val="1"/>
    <w:qFormat/>
    <w:uiPriority w:val="0"/>
    <w:pPr>
      <w:spacing w:afterLines="0" w:line="240" w:lineRule="auto"/>
    </w:pPr>
    <w:rPr>
      <w:rFonts w:ascii="宋体" w:hAnsi="Courier New"/>
      <w:szCs w:val="20"/>
    </w:rPr>
  </w:style>
  <w:style w:type="paragraph" w:styleId="12">
    <w:name w:val="Body Text Indent 2"/>
    <w:basedOn w:val="1"/>
    <w:link w:val="61"/>
    <w:semiHidden/>
    <w:unhideWhenUsed/>
    <w:qFormat/>
    <w:uiPriority w:val="0"/>
    <w:pPr>
      <w:spacing w:after="120" w:line="480" w:lineRule="auto"/>
      <w:ind w:left="420" w:leftChars="200"/>
    </w:pPr>
  </w:style>
  <w:style w:type="paragraph" w:styleId="13">
    <w:name w:val="Balloon Text"/>
    <w:basedOn w:val="1"/>
    <w:link w:val="32"/>
    <w:qFormat/>
    <w:uiPriority w:val="0"/>
    <w:pPr>
      <w:spacing w:line="240" w:lineRule="auto"/>
    </w:pPr>
    <w:rPr>
      <w:sz w:val="18"/>
      <w:szCs w:val="18"/>
    </w:rPr>
  </w:style>
  <w:style w:type="paragraph" w:styleId="14">
    <w:name w:val="footer"/>
    <w:basedOn w:val="1"/>
    <w:link w:val="37"/>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5">
    <w:name w:val="header"/>
    <w:basedOn w:val="1"/>
    <w:link w:val="38"/>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6">
    <w:name w:val="toc 1"/>
    <w:basedOn w:val="1"/>
    <w:next w:val="1"/>
    <w:qFormat/>
    <w:uiPriority w:val="39"/>
    <w:pPr>
      <w:spacing w:before="120" w:after="120"/>
      <w:jc w:val="left"/>
    </w:pPr>
    <w:rPr>
      <w:rFonts w:ascii="Calibri" w:hAnsi="Calibri"/>
      <w:b/>
      <w:bCs/>
      <w:caps/>
      <w:sz w:val="20"/>
      <w:szCs w:val="20"/>
    </w:rPr>
  </w:style>
  <w:style w:type="paragraph" w:styleId="17">
    <w:name w:val="toc 2"/>
    <w:basedOn w:val="1"/>
    <w:next w:val="1"/>
    <w:qFormat/>
    <w:uiPriority w:val="0"/>
    <w:pPr>
      <w:ind w:left="420" w:leftChars="200"/>
    </w:pPr>
  </w:style>
  <w:style w:type="paragraph" w:styleId="18">
    <w:name w:val="Normal (Web)"/>
    <w:basedOn w:val="1"/>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19">
    <w:name w:val="annotation subject"/>
    <w:basedOn w:val="8"/>
    <w:next w:val="8"/>
    <w:link w:val="34"/>
    <w:qFormat/>
    <w:uiPriority w:val="0"/>
    <w:pPr>
      <w:spacing w:afterLines="25" w:line="300" w:lineRule="auto"/>
    </w:pPr>
    <w:rPr>
      <w:rFonts w:ascii="Arial" w:hAnsi="Arial"/>
      <w:b/>
      <w:bCs/>
    </w:rPr>
  </w:style>
  <w:style w:type="paragraph" w:styleId="20">
    <w:name w:val="Body Text First Indent 2"/>
    <w:basedOn w:val="10"/>
    <w:link w:val="55"/>
    <w:qFormat/>
    <w:uiPriority w:val="99"/>
    <w:pPr>
      <w:ind w:firstLine="420" w:firstLineChars="200"/>
    </w:pPr>
  </w:style>
  <w:style w:type="table" w:styleId="22">
    <w:name w:val="Table Grid"/>
    <w:basedOn w:val="21"/>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qFormat/>
    <w:uiPriority w:val="99"/>
    <w:rPr>
      <w:sz w:val="21"/>
      <w:szCs w:val="21"/>
    </w:rPr>
  </w:style>
  <w:style w:type="character" w:customStyle="1" w:styleId="27">
    <w:name w:val="标题 1 Char"/>
    <w:qFormat/>
    <w:uiPriority w:val="0"/>
    <w:rPr>
      <w:rFonts w:ascii="宋体" w:hAnsi="宋体" w:eastAsia="黑体"/>
      <w:b/>
      <w:bCs/>
      <w:kern w:val="44"/>
      <w:sz w:val="28"/>
      <w:szCs w:val="44"/>
      <w:lang w:val="en-US" w:eastAsia="zh-CN" w:bidi="ar-SA"/>
    </w:rPr>
  </w:style>
  <w:style w:type="paragraph" w:customStyle="1" w:styleId="28">
    <w:name w:val="WPSOffice手动目录 1"/>
    <w:qFormat/>
    <w:uiPriority w:val="0"/>
    <w:rPr>
      <w:rFonts w:ascii="Times New Roman" w:hAnsi="Times New Roman" w:eastAsia="宋体" w:cs="Times New Roman"/>
      <w:lang w:val="en-US" w:eastAsia="zh-CN" w:bidi="ar-SA"/>
    </w:rPr>
  </w:style>
  <w:style w:type="character" w:customStyle="1" w:styleId="29">
    <w:name w:val="NormalCharacter"/>
    <w:qFormat/>
    <w:uiPriority w:val="0"/>
  </w:style>
  <w:style w:type="paragraph" w:customStyle="1" w:styleId="30">
    <w:name w:val="列出段落1"/>
    <w:basedOn w:val="1"/>
    <w:unhideWhenUsed/>
    <w:qFormat/>
    <w:uiPriority w:val="99"/>
    <w:pPr>
      <w:ind w:firstLine="420" w:firstLineChars="200"/>
    </w:pPr>
  </w:style>
  <w:style w:type="character" w:customStyle="1" w:styleId="31">
    <w:name w:val="标题 1 Char2"/>
    <w:qFormat/>
    <w:uiPriority w:val="0"/>
    <w:rPr>
      <w:rFonts w:ascii="宋体" w:hAnsi="宋体" w:eastAsia="黑体"/>
      <w:b/>
      <w:bCs/>
      <w:kern w:val="44"/>
      <w:sz w:val="28"/>
      <w:szCs w:val="44"/>
      <w:lang w:val="en-US" w:eastAsia="zh-CN" w:bidi="ar-SA"/>
    </w:rPr>
  </w:style>
  <w:style w:type="character" w:customStyle="1" w:styleId="32">
    <w:name w:val="批注框文本 字符"/>
    <w:basedOn w:val="23"/>
    <w:link w:val="13"/>
    <w:qFormat/>
    <w:uiPriority w:val="0"/>
    <w:rPr>
      <w:rFonts w:ascii="Arial" w:hAnsi="Arial" w:eastAsia="宋体" w:cs="Times New Roman"/>
      <w:kern w:val="2"/>
      <w:sz w:val="18"/>
      <w:szCs w:val="18"/>
    </w:rPr>
  </w:style>
  <w:style w:type="character" w:customStyle="1" w:styleId="33">
    <w:name w:val="批注文字 字符"/>
    <w:basedOn w:val="23"/>
    <w:link w:val="8"/>
    <w:qFormat/>
    <w:uiPriority w:val="99"/>
    <w:rPr>
      <w:rFonts w:ascii="Times New Roman" w:hAnsi="Times New Roman" w:eastAsia="宋体" w:cs="Times New Roman"/>
      <w:kern w:val="2"/>
      <w:sz w:val="21"/>
      <w:szCs w:val="24"/>
    </w:rPr>
  </w:style>
  <w:style w:type="character" w:customStyle="1" w:styleId="34">
    <w:name w:val="批注主题 字符"/>
    <w:basedOn w:val="33"/>
    <w:link w:val="19"/>
    <w:qFormat/>
    <w:uiPriority w:val="0"/>
    <w:rPr>
      <w:rFonts w:ascii="Arial" w:hAnsi="Arial" w:eastAsia="宋体" w:cs="Times New Roman"/>
      <w:b/>
      <w:bCs/>
      <w:kern w:val="2"/>
      <w:sz w:val="21"/>
      <w:szCs w:val="24"/>
    </w:rPr>
  </w:style>
  <w:style w:type="character" w:customStyle="1" w:styleId="35">
    <w:name w:val="font01"/>
    <w:basedOn w:val="23"/>
    <w:qFormat/>
    <w:uiPriority w:val="0"/>
    <w:rPr>
      <w:rFonts w:hint="eastAsia" w:ascii="宋体" w:hAnsi="宋体" w:eastAsia="宋体"/>
      <w:color w:val="000000"/>
      <w:sz w:val="20"/>
      <w:szCs w:val="20"/>
      <w:u w:val="none"/>
      <w:vertAlign w:val="superscript"/>
    </w:rPr>
  </w:style>
  <w:style w:type="character" w:customStyle="1" w:styleId="36">
    <w:name w:val="font31"/>
    <w:basedOn w:val="23"/>
    <w:qFormat/>
    <w:uiPriority w:val="0"/>
    <w:rPr>
      <w:rFonts w:hint="eastAsia" w:ascii="宋体" w:hAnsi="宋体" w:eastAsia="宋体"/>
      <w:color w:val="000000"/>
      <w:sz w:val="20"/>
      <w:szCs w:val="20"/>
      <w:u w:val="none"/>
    </w:rPr>
  </w:style>
  <w:style w:type="character" w:customStyle="1" w:styleId="37">
    <w:name w:val="页脚 字符"/>
    <w:basedOn w:val="23"/>
    <w:link w:val="14"/>
    <w:qFormat/>
    <w:uiPriority w:val="99"/>
    <w:rPr>
      <w:rFonts w:ascii="Arial" w:hAnsi="Arial" w:eastAsia="楷体_GB2312" w:cs="Times New Roman"/>
      <w:sz w:val="18"/>
      <w:szCs w:val="18"/>
    </w:rPr>
  </w:style>
  <w:style w:type="character" w:customStyle="1" w:styleId="38">
    <w:name w:val="页眉 字符"/>
    <w:basedOn w:val="23"/>
    <w:link w:val="15"/>
    <w:qFormat/>
    <w:uiPriority w:val="99"/>
    <w:rPr>
      <w:rFonts w:ascii="Arial" w:hAnsi="Arial" w:eastAsia="楷体_GB2312" w:cs="Times New Roman"/>
      <w:kern w:val="2"/>
      <w:sz w:val="18"/>
      <w:szCs w:val="18"/>
    </w:rPr>
  </w:style>
  <w:style w:type="paragraph" w:customStyle="1" w:styleId="39">
    <w:name w:val="修订1"/>
    <w:hidden/>
    <w:unhideWhenUsed/>
    <w:qFormat/>
    <w:uiPriority w:val="99"/>
    <w:rPr>
      <w:rFonts w:ascii="Arial" w:hAnsi="Arial" w:eastAsia="宋体" w:cs="Times New Roman"/>
      <w:kern w:val="2"/>
      <w:sz w:val="21"/>
      <w:szCs w:val="24"/>
      <w:lang w:val="en-US" w:eastAsia="zh-CN" w:bidi="ar-SA"/>
    </w:rPr>
  </w:style>
  <w:style w:type="paragraph" w:customStyle="1" w:styleId="40">
    <w:name w:val="列出段落2"/>
    <w:basedOn w:val="1"/>
    <w:unhideWhenUsed/>
    <w:qFormat/>
    <w:uiPriority w:val="99"/>
    <w:pPr>
      <w:ind w:firstLine="420" w:firstLineChars="200"/>
    </w:pPr>
  </w:style>
  <w:style w:type="character" w:customStyle="1" w:styleId="41">
    <w:name w:val="15"/>
    <w:basedOn w:val="23"/>
    <w:qFormat/>
    <w:uiPriority w:val="0"/>
    <w:rPr>
      <w:rFonts w:hint="default" w:ascii="Calibri" w:hAnsi="Calibri" w:cs="Calibri"/>
      <w:color w:val="0000FF"/>
      <w:u w:val="single"/>
    </w:rPr>
  </w:style>
  <w:style w:type="paragraph" w:customStyle="1" w:styleId="42">
    <w:name w:val="style93"/>
    <w:basedOn w:val="1"/>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3">
    <w:name w:val="列出段落3"/>
    <w:basedOn w:val="1"/>
    <w:unhideWhenUsed/>
    <w:qFormat/>
    <w:uiPriority w:val="99"/>
    <w:pPr>
      <w:ind w:firstLine="420" w:firstLineChars="200"/>
    </w:pPr>
  </w:style>
  <w:style w:type="paragraph" w:customStyle="1" w:styleId="44">
    <w:name w:val="修订2"/>
    <w:hidden/>
    <w:unhideWhenUsed/>
    <w:qFormat/>
    <w:uiPriority w:val="99"/>
    <w:rPr>
      <w:rFonts w:ascii="Arial" w:hAnsi="Arial" w:eastAsia="宋体" w:cs="Times New Roman"/>
      <w:kern w:val="2"/>
      <w:sz w:val="21"/>
      <w:szCs w:val="24"/>
      <w:lang w:val="en-US" w:eastAsia="zh-CN" w:bidi="ar-SA"/>
    </w:rPr>
  </w:style>
  <w:style w:type="paragraph" w:customStyle="1" w:styleId="45">
    <w:name w:val="修订3"/>
    <w:hidden/>
    <w:unhideWhenUsed/>
    <w:qFormat/>
    <w:uiPriority w:val="99"/>
    <w:rPr>
      <w:rFonts w:ascii="Arial" w:hAnsi="Arial" w:eastAsia="宋体" w:cs="Times New Roman"/>
      <w:kern w:val="2"/>
      <w:sz w:val="21"/>
      <w:szCs w:val="24"/>
      <w:lang w:val="en-US" w:eastAsia="zh-CN" w:bidi="ar-SA"/>
    </w:rPr>
  </w:style>
  <w:style w:type="paragraph" w:customStyle="1" w:styleId="46">
    <w:name w:val="列出段落4"/>
    <w:basedOn w:val="1"/>
    <w:unhideWhenUsed/>
    <w:qFormat/>
    <w:uiPriority w:val="99"/>
    <w:pPr>
      <w:ind w:firstLine="420" w:firstLineChars="200"/>
    </w:pPr>
  </w:style>
  <w:style w:type="character" w:customStyle="1" w:styleId="47">
    <w:name w:val="标题 4 字符"/>
    <w:basedOn w:val="23"/>
    <w:link w:val="6"/>
    <w:semiHidden/>
    <w:qFormat/>
    <w:uiPriority w:val="0"/>
    <w:rPr>
      <w:rFonts w:asciiTheme="majorHAnsi" w:hAnsiTheme="majorHAnsi" w:eastAsiaTheme="majorEastAsia" w:cstheme="majorBidi"/>
      <w:b/>
      <w:bCs/>
      <w:kern w:val="2"/>
      <w:sz w:val="28"/>
      <w:szCs w:val="28"/>
    </w:rPr>
  </w:style>
  <w:style w:type="paragraph" w:customStyle="1" w:styleId="48">
    <w:name w:val="列出段落5"/>
    <w:basedOn w:val="1"/>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49">
    <w:name w:val="列出段落6"/>
    <w:basedOn w:val="1"/>
    <w:unhideWhenUsed/>
    <w:qFormat/>
    <w:uiPriority w:val="34"/>
    <w:pPr>
      <w:ind w:firstLine="420" w:firstLineChars="200"/>
    </w:pPr>
  </w:style>
  <w:style w:type="character" w:customStyle="1" w:styleId="50">
    <w:name w:val="font21"/>
    <w:basedOn w:val="23"/>
    <w:qFormat/>
    <w:uiPriority w:val="0"/>
    <w:rPr>
      <w:rFonts w:hint="eastAsia" w:ascii="宋体" w:hAnsi="宋体" w:eastAsia="宋体"/>
      <w:color w:val="000000"/>
      <w:sz w:val="18"/>
      <w:szCs w:val="18"/>
      <w:u w:val="none"/>
    </w:rPr>
  </w:style>
  <w:style w:type="character" w:customStyle="1" w:styleId="51">
    <w:name w:val="font11"/>
    <w:basedOn w:val="23"/>
    <w:qFormat/>
    <w:uiPriority w:val="0"/>
    <w:rPr>
      <w:rFonts w:hint="eastAsia" w:ascii="宋体" w:hAnsi="宋体" w:eastAsia="宋体"/>
      <w:color w:val="000000"/>
      <w:sz w:val="18"/>
      <w:szCs w:val="18"/>
      <w:u w:val="none"/>
    </w:rPr>
  </w:style>
  <w:style w:type="paragraph" w:customStyle="1" w:styleId="52">
    <w:name w:val="列出段落7"/>
    <w:basedOn w:val="1"/>
    <w:unhideWhenUsed/>
    <w:qFormat/>
    <w:uiPriority w:val="99"/>
    <w:pPr>
      <w:ind w:firstLine="420" w:firstLineChars="200"/>
    </w:pPr>
  </w:style>
  <w:style w:type="paragraph" w:customStyle="1" w:styleId="53">
    <w:name w:val="列出段落8"/>
    <w:basedOn w:val="1"/>
    <w:unhideWhenUsed/>
    <w:qFormat/>
    <w:uiPriority w:val="99"/>
    <w:pPr>
      <w:ind w:firstLine="420" w:firstLineChars="200"/>
    </w:pPr>
  </w:style>
  <w:style w:type="paragraph" w:customStyle="1" w:styleId="54">
    <w:name w:val="修订4"/>
    <w:hidden/>
    <w:semiHidden/>
    <w:qFormat/>
    <w:uiPriority w:val="99"/>
    <w:rPr>
      <w:rFonts w:ascii="Arial" w:hAnsi="Arial" w:eastAsia="宋体" w:cs="Times New Roman"/>
      <w:kern w:val="2"/>
      <w:sz w:val="21"/>
      <w:szCs w:val="24"/>
      <w:lang w:val="en-US" w:eastAsia="zh-CN" w:bidi="ar-SA"/>
    </w:rPr>
  </w:style>
  <w:style w:type="character" w:customStyle="1" w:styleId="55">
    <w:name w:val="正文文本首行缩进 2 字符"/>
    <w:basedOn w:val="23"/>
    <w:link w:val="20"/>
    <w:qFormat/>
    <w:uiPriority w:val="99"/>
    <w:rPr>
      <w:rFonts w:ascii="Arial" w:hAnsi="Arial"/>
      <w:kern w:val="2"/>
      <w:sz w:val="21"/>
      <w:szCs w:val="24"/>
    </w:rPr>
  </w:style>
  <w:style w:type="paragraph" w:customStyle="1" w:styleId="56">
    <w:name w:val="修订5"/>
    <w:hidden/>
    <w:semiHidden/>
    <w:qFormat/>
    <w:uiPriority w:val="99"/>
    <w:rPr>
      <w:rFonts w:ascii="Arial" w:hAnsi="Arial" w:eastAsia="宋体" w:cs="Times New Roman"/>
      <w:kern w:val="2"/>
      <w:sz w:val="21"/>
      <w:szCs w:val="24"/>
      <w:lang w:val="en-US" w:eastAsia="zh-CN" w:bidi="ar-SA"/>
    </w:rPr>
  </w:style>
  <w:style w:type="paragraph" w:styleId="57">
    <w:name w:val="List Paragraph"/>
    <w:basedOn w:val="1"/>
    <w:qFormat/>
    <w:uiPriority w:val="99"/>
    <w:pPr>
      <w:ind w:firstLine="420" w:firstLineChars="200"/>
    </w:pPr>
  </w:style>
  <w:style w:type="character" w:customStyle="1" w:styleId="58">
    <w:name w:val="标题 1 字符"/>
    <w:link w:val="3"/>
    <w:qFormat/>
    <w:uiPriority w:val="0"/>
    <w:rPr>
      <w:rFonts w:ascii="Arial" w:hAnsi="Arial"/>
      <w:b/>
      <w:bCs/>
      <w:kern w:val="44"/>
      <w:sz w:val="44"/>
      <w:szCs w:val="44"/>
    </w:rPr>
  </w:style>
  <w:style w:type="paragraph" w:customStyle="1" w:styleId="59">
    <w:name w:val="p0"/>
    <w:basedOn w:val="1"/>
    <w:qFormat/>
    <w:uiPriority w:val="0"/>
    <w:pPr>
      <w:widowControl/>
      <w:snapToGrid w:val="0"/>
      <w:spacing w:before="120" w:after="120" w:afterLines="0" w:line="500" w:lineRule="atLeast"/>
      <w:ind w:firstLine="420"/>
    </w:pPr>
    <w:rPr>
      <w:rFonts w:cs="Arial"/>
      <w:kern w:val="0"/>
      <w:sz w:val="28"/>
      <w:szCs w:val="28"/>
    </w:rPr>
  </w:style>
  <w:style w:type="paragraph" w:customStyle="1" w:styleId="60">
    <w:name w:val="列出段落9"/>
    <w:basedOn w:val="1"/>
    <w:qFormat/>
    <w:uiPriority w:val="99"/>
    <w:pPr>
      <w:ind w:firstLine="420" w:firstLineChars="200"/>
    </w:pPr>
  </w:style>
  <w:style w:type="character" w:customStyle="1" w:styleId="61">
    <w:name w:val="正文文本缩进 2 字符"/>
    <w:basedOn w:val="23"/>
    <w:link w:val="12"/>
    <w:semiHidden/>
    <w:qFormat/>
    <w:uiPriority w:val="0"/>
    <w:rPr>
      <w:rFonts w:ascii="Arial" w:hAnsi="Arial"/>
      <w:kern w:val="2"/>
      <w:sz w:val="21"/>
      <w:szCs w:val="24"/>
    </w:rPr>
  </w:style>
  <w:style w:type="paragraph" w:customStyle="1" w:styleId="62">
    <w:name w:val="正文目录 + 首行缩进:  2 字符 + 首行缩进:  2 字符 + 首行缩进:  2 字符"/>
    <w:basedOn w:val="1"/>
    <w:qFormat/>
    <w:uiPriority w:val="0"/>
    <w:pPr>
      <w:spacing w:afterLines="0" w:line="360" w:lineRule="auto"/>
      <w:jc w:val="center"/>
    </w:pPr>
    <w:rPr>
      <w:rFonts w:ascii="仿宋_GB2312" w:hAnsi="宋体" w:eastAsia="仿宋_GB2312" w:cs="宋体"/>
      <w:b/>
      <w:kern w:val="0"/>
      <w:sz w:val="36"/>
      <w:szCs w:val="20"/>
    </w:rPr>
  </w:style>
  <w:style w:type="paragraph" w:customStyle="1" w:styleId="63">
    <w:name w:val="正文（绿盟科技）"/>
    <w:qFormat/>
    <w:uiPriority w:val="0"/>
    <w:pPr>
      <w:spacing w:line="300" w:lineRule="auto"/>
    </w:pPr>
    <w:rPr>
      <w:rFonts w:ascii="Arial" w:hAnsi="Arial" w:eastAsia="宋体" w:cs="黑体"/>
      <w:sz w:val="21"/>
      <w:szCs w:val="21"/>
      <w:lang w:val="en-US" w:eastAsia="zh-CN" w:bidi="ar-SA"/>
    </w:rPr>
  </w:style>
  <w:style w:type="paragraph" w:customStyle="1" w:styleId="64">
    <w:name w:val="标题 5（有编号）（绿盟科技）"/>
    <w:basedOn w:val="1"/>
    <w:next w:val="63"/>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5">
    <w:name w:val="修订6"/>
    <w:unhideWhenUsed/>
    <w:qFormat/>
    <w:uiPriority w:val="99"/>
    <w:rPr>
      <w:rFonts w:ascii="Calibri" w:hAnsi="Calibri" w:eastAsia="宋体" w:cs="宋体"/>
      <w:kern w:val="2"/>
      <w:sz w:val="21"/>
      <w:szCs w:val="22"/>
      <w:lang w:val="en-US" w:eastAsia="zh-CN" w:bidi="ar-SA"/>
    </w:rPr>
  </w:style>
  <w:style w:type="paragraph" w:customStyle="1" w:styleId="66">
    <w:name w:val="_正文"/>
    <w:basedOn w:val="1"/>
    <w:qFormat/>
    <w:uiPriority w:val="0"/>
    <w:pPr>
      <w:widowControl/>
      <w:tabs>
        <w:tab w:val="left" w:pos="3780"/>
      </w:tabs>
      <w:spacing w:before="156" w:beforeLines="50" w:afterLines="0" w:line="360" w:lineRule="auto"/>
      <w:jc w:val="left"/>
    </w:pPr>
  </w:style>
  <w:style w:type="paragraph" w:customStyle="1" w:styleId="67">
    <w:name w:val="！正文内容1.5倍行距"/>
    <w:basedOn w:val="1"/>
    <w:qFormat/>
    <w:uiPriority w:val="0"/>
    <w:pPr>
      <w:spacing w:afterLines="0" w:line="420" w:lineRule="atLeast"/>
      <w:ind w:firstLine="200" w:firstLineChars="200"/>
    </w:pPr>
    <w:rPr>
      <w:rFonts w:ascii="Times New Roman" w:hAnsi="Times New Roman"/>
      <w:sz w:val="24"/>
    </w:rPr>
  </w:style>
  <w:style w:type="paragraph" w:customStyle="1" w:styleId="68">
    <w:name w:val="+正文"/>
    <w:basedOn w:val="1"/>
    <w:qFormat/>
    <w:uiPriority w:val="0"/>
    <w:pPr>
      <w:autoSpaceDE w:val="0"/>
      <w:autoSpaceDN w:val="0"/>
      <w:spacing w:line="360" w:lineRule="auto"/>
      <w:ind w:firstLine="200" w:firstLineChars="200"/>
      <w:jc w:val="left"/>
    </w:pPr>
    <w:rPr>
      <w:rFonts w:ascii="Calibri" w:hAnsi="Calibri"/>
      <w:kern w:val="0"/>
      <w:sz w:val="24"/>
      <w:szCs w:val="28"/>
      <w:lang w:eastAsia="en-US"/>
    </w:rPr>
  </w:style>
  <w:style w:type="table" w:customStyle="1" w:styleId="69">
    <w:name w:val="Table Normal"/>
    <w:semiHidden/>
    <w:unhideWhenUsed/>
    <w:qFormat/>
    <w:uiPriority w:val="0"/>
    <w:tblPr>
      <w:tblCellMar>
        <w:top w:w="0" w:type="dxa"/>
        <w:left w:w="0" w:type="dxa"/>
        <w:bottom w:w="0" w:type="dxa"/>
        <w:right w:w="0" w:type="dxa"/>
      </w:tblCellMar>
    </w:tblPr>
  </w:style>
  <w:style w:type="paragraph" w:customStyle="1" w:styleId="70">
    <w:name w:val="Table Text"/>
    <w:basedOn w:val="1"/>
    <w:semiHidden/>
    <w:qFormat/>
    <w:uiPriority w:val="0"/>
    <w:rPr>
      <w:rFonts w:ascii="宋体" w:hAnsi="宋体" w:cs="宋体"/>
      <w:sz w:val="24"/>
      <w:lang w:eastAsia="en-US"/>
    </w:rPr>
  </w:style>
  <w:style w:type="paragraph" w:customStyle="1" w:styleId="71">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customXml" Target="../customXml/item2.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theme" Target="theme/theme1.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footer" Target="footer5.xml"/><Relationship Id="rId14" Type="http://schemas.openxmlformats.org/officeDocument/2006/relationships/header" Target="header6.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19</Pages>
  <Words>6204</Words>
  <Characters>6395</Characters>
  <Lines>52</Lines>
  <Paragraphs>14</Paragraphs>
  <TotalTime>5</TotalTime>
  <ScaleCrop>false</ScaleCrop>
  <LinksUpToDate>false</LinksUpToDate>
  <CharactersWithSpaces>6592</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Sophie</cp:lastModifiedBy>
  <cp:lastPrinted>2024-08-14T06:08:00Z</cp:lastPrinted>
  <dcterms:modified xsi:type="dcterms:W3CDTF">2025-07-10T07:25:20Z</dcterms:modified>
  <cp:revision>55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78DA12B1DCC145219998AF01A5C715E6_13</vt:lpwstr>
  </property>
  <property fmtid="{D5CDD505-2E9C-101B-9397-08002B2CF9AE}" pid="4" name="KSOTemplateDocerSaveRecord">
    <vt:lpwstr>eyJoZGlkIjoiN2Y1N2I5NzJmOTYxMjQ4ZmI3MWM1Njk4N2MxYzc3MTciLCJ1c2VySWQiOiI3MzIxNjI2ODQifQ==</vt:lpwstr>
  </property>
</Properties>
</file>